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971F" w14:textId="77777777" w:rsidR="00820148" w:rsidRDefault="00820148" w:rsidP="00820148">
      <w:pPr>
        <w:pStyle w:val="Title"/>
        <w:jc w:val="right"/>
        <w:rPr>
          <w:sz w:val="36"/>
          <w:szCs w:val="36"/>
        </w:rPr>
      </w:pPr>
      <w:r>
        <w:rPr>
          <w:noProof/>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08952581" w:rsidR="00820148" w:rsidRPr="00EA25B2" w:rsidRDefault="00770939">
      <w:pPr>
        <w:pStyle w:val="Title"/>
        <w:rPr>
          <w:rFonts w:ascii="Arial" w:hAnsi="Arial" w:cs="Arial"/>
          <w:sz w:val="36"/>
          <w:szCs w:val="36"/>
        </w:rPr>
      </w:pPr>
      <w:r w:rsidRPr="00EA25B2">
        <w:rPr>
          <w:rFonts w:ascii="Arial" w:hAnsi="Arial" w:cs="Arial"/>
          <w:sz w:val="36"/>
          <w:szCs w:val="36"/>
        </w:rPr>
        <w:t>COURSE #</w:t>
      </w:r>
      <w:r w:rsidR="00445E58" w:rsidRPr="00EA25B2">
        <w:rPr>
          <w:rFonts w:ascii="Arial" w:hAnsi="Arial" w:cs="Arial"/>
          <w:sz w:val="36"/>
          <w:szCs w:val="36"/>
        </w:rPr>
        <w:tab/>
      </w:r>
      <w:r w:rsidR="00E43C5A">
        <w:rPr>
          <w:rFonts w:ascii="Arial" w:hAnsi="Arial" w:cs="Arial"/>
          <w:sz w:val="36"/>
          <w:szCs w:val="36"/>
        </w:rPr>
        <w:t>CJ 1010</w:t>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p>
    <w:p w14:paraId="1D528B51" w14:textId="11AE6E7F" w:rsidR="005861E1" w:rsidRPr="00EA25B2" w:rsidRDefault="00E43C5A">
      <w:pPr>
        <w:pStyle w:val="Title"/>
        <w:rPr>
          <w:rFonts w:ascii="Arial" w:hAnsi="Arial" w:cs="Arial"/>
          <w:sz w:val="36"/>
          <w:szCs w:val="36"/>
        </w:rPr>
      </w:pPr>
      <w:r>
        <w:rPr>
          <w:rFonts w:ascii="Arial" w:hAnsi="Arial" w:cs="Arial"/>
          <w:b w:val="0"/>
          <w:color w:val="auto"/>
          <w:sz w:val="36"/>
          <w:szCs w:val="36"/>
        </w:rPr>
        <w:t>Introduction to Criminal Justice</w:t>
      </w:r>
      <w:r w:rsidR="00445E58" w:rsidRPr="00EA25B2">
        <w:rPr>
          <w:rFonts w:ascii="Arial" w:hAnsi="Arial" w:cs="Arial"/>
          <w:b w:val="0"/>
          <w:sz w:val="36"/>
          <w:szCs w:val="36"/>
        </w:rPr>
        <w:tab/>
      </w:r>
      <w:r w:rsidR="00445E58" w:rsidRPr="00EA25B2">
        <w:rPr>
          <w:rFonts w:ascii="Arial" w:hAnsi="Arial" w:cs="Arial"/>
          <w:b w:val="0"/>
          <w:sz w:val="36"/>
          <w:szCs w:val="36"/>
        </w:rPr>
        <w:tab/>
      </w:r>
    </w:p>
    <w:p w14:paraId="02B77527" w14:textId="4073E835" w:rsidR="00770939" w:rsidRPr="00EA25B2" w:rsidRDefault="00E43C5A" w:rsidP="00770939">
      <w:pPr>
        <w:pStyle w:val="Subtitle"/>
        <w:rPr>
          <w:rFonts w:ascii="Arial" w:hAnsi="Arial" w:cs="Arial"/>
          <w:b w:val="0"/>
          <w:i/>
        </w:rPr>
      </w:pPr>
      <w:r>
        <w:rPr>
          <w:rFonts w:ascii="Arial" w:hAnsi="Arial" w:cs="Arial"/>
          <w:b w:val="0"/>
          <w:i/>
        </w:rPr>
        <w:t>2018-2019</w:t>
      </w:r>
    </w:p>
    <w:p w14:paraId="5315FAA9"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51129122" w14:textId="1210FD9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17C6EA28" w14:textId="30DCE7FD"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4A270016" w14:textId="25BCAADB"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19FE16DF" w14:textId="51F3542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Office Hours: </w:t>
      </w:r>
    </w:p>
    <w:p w14:paraId="1F921CAC" w14:textId="77777777" w:rsidR="00770939" w:rsidRPr="00EA25B2" w:rsidRDefault="00770939" w:rsidP="00770939">
      <w:pPr>
        <w:rPr>
          <w:rFonts w:ascii="Arial" w:eastAsiaTheme="majorEastAsia" w:hAnsi="Arial" w:cs="Arial"/>
          <w:b/>
          <w:bCs/>
          <w:color w:val="404040" w:themeColor="text1" w:themeTint="BF"/>
          <w:sz w:val="28"/>
          <w:szCs w:val="28"/>
        </w:rPr>
      </w:pPr>
    </w:p>
    <w:p w14:paraId="4362AA75"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Course</w:t>
      </w:r>
    </w:p>
    <w:p w14:paraId="3B321848" w14:textId="77777777" w:rsidR="005861E1" w:rsidRPr="00EA25B2" w:rsidRDefault="00A52EF5">
      <w:pPr>
        <w:pStyle w:val="Heading2"/>
        <w:rPr>
          <w:rFonts w:ascii="Arial" w:hAnsi="Arial" w:cs="Arial"/>
          <w:sz w:val="22"/>
          <w:szCs w:val="22"/>
        </w:rPr>
      </w:pPr>
      <w:r w:rsidRPr="00EA25B2">
        <w:rPr>
          <w:rFonts w:ascii="Arial" w:hAnsi="Arial" w:cs="Arial"/>
          <w:sz w:val="22"/>
          <w:szCs w:val="22"/>
        </w:rPr>
        <w:t>Course D</w:t>
      </w:r>
      <w:r w:rsidR="00DA66B7" w:rsidRPr="00EA25B2">
        <w:rPr>
          <w:rFonts w:ascii="Arial" w:hAnsi="Arial" w:cs="Arial"/>
          <w:sz w:val="22"/>
          <w:szCs w:val="22"/>
        </w:rPr>
        <w:t>escription</w:t>
      </w:r>
    </w:p>
    <w:p w14:paraId="0BDA4A77" w14:textId="77777777" w:rsidR="006831E2" w:rsidRPr="00EA25B2" w:rsidRDefault="006831E2" w:rsidP="006831E2">
      <w:pPr>
        <w:pStyle w:val="Default"/>
        <w:rPr>
          <w:rFonts w:ascii="Arial" w:eastAsiaTheme="minorHAnsi" w:hAnsi="Arial" w:cs="Arial"/>
          <w:b/>
          <w:i/>
          <w:color w:val="auto"/>
          <w:sz w:val="22"/>
          <w:szCs w:val="22"/>
          <w:lang w:eastAsia="ja-JP"/>
        </w:rPr>
      </w:pPr>
      <w:r w:rsidRPr="00EA25B2">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50677592" w14:textId="77777777" w:rsidR="006831E2" w:rsidRPr="00EA25B2" w:rsidRDefault="006831E2" w:rsidP="006831E2">
      <w:pPr>
        <w:rPr>
          <w:rFonts w:ascii="Arial" w:hAnsi="Arial" w:cs="Arial"/>
          <w:sz w:val="22"/>
          <w:szCs w:val="22"/>
        </w:rPr>
      </w:pP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49F03854" w14:textId="7AF5D029" w:rsidR="00704941" w:rsidRPr="00E43C5A" w:rsidRDefault="00E43C5A" w:rsidP="004644BA">
      <w:pPr>
        <w:rPr>
          <w:rFonts w:ascii="Arial" w:eastAsiaTheme="majorEastAsia" w:hAnsi="Arial" w:cs="Arial"/>
          <w:b/>
          <w:bCs/>
          <w:color w:val="549E39" w:themeColor="accent1"/>
          <w:sz w:val="22"/>
          <w:szCs w:val="22"/>
        </w:rPr>
      </w:pPr>
      <w:r w:rsidRPr="00E43C5A">
        <w:rPr>
          <w:rFonts w:ascii="Arial" w:hAnsi="Arial" w:cs="Arial"/>
          <w:color w:val="000000"/>
          <w:sz w:val="22"/>
          <w:szCs w:val="22"/>
          <w:shd w:val="clear" w:color="auto" w:fill="FFFFFF"/>
        </w:rPr>
        <w:t>Presents the processes, institution, and administration of criminal justice in the United States. Examines the crime problem, criminal law, law enforcement, criminal prosecution, criminal defense, bail, the jury system, and sentencing among adult and juvenile offenders. Explores the correctional system; namely, probation, prisons, inmates' rights, and parole.</w:t>
      </w:r>
    </w:p>
    <w:p w14:paraId="6CBBF022" w14:textId="47B01A5D"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659D10F2" w14:textId="77777777" w:rsidR="007D7B88" w:rsidRDefault="007D7B88" w:rsidP="007D7B88">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p>
    <w:p w14:paraId="4AEB3C0C" w14:textId="77777777" w:rsidR="002470E9" w:rsidRPr="00EA25B2" w:rsidRDefault="00A52EF5" w:rsidP="00F26331">
      <w:pPr>
        <w:pStyle w:val="Heading2"/>
        <w:rPr>
          <w:rFonts w:ascii="Arial" w:hAnsi="Arial" w:cs="Arial"/>
          <w:sz w:val="22"/>
          <w:szCs w:val="22"/>
        </w:rPr>
      </w:pPr>
      <w:bookmarkStart w:id="0" w:name="_GoBack"/>
      <w:bookmarkEnd w:id="0"/>
      <w:r w:rsidRPr="00EA25B2">
        <w:rPr>
          <w:rFonts w:ascii="Arial" w:hAnsi="Arial" w:cs="Arial"/>
          <w:sz w:val="22"/>
          <w:szCs w:val="22"/>
        </w:rPr>
        <w:t>Course Objectives</w:t>
      </w:r>
      <w:r w:rsidR="00770939" w:rsidRPr="00EA25B2">
        <w:rPr>
          <w:rFonts w:ascii="Arial" w:hAnsi="Arial" w:cs="Arial"/>
          <w:sz w:val="22"/>
          <w:szCs w:val="22"/>
        </w:rPr>
        <w:t xml:space="preserve"> or Learning Outcomes</w:t>
      </w:r>
    </w:p>
    <w:p w14:paraId="60F6CC50" w14:textId="77777777" w:rsidR="00E43C5A" w:rsidRPr="00E43C5A" w:rsidRDefault="00E43C5A" w:rsidP="00E43C5A">
      <w:pPr>
        <w:rPr>
          <w:rFonts w:ascii="Arial" w:hAnsi="Arial" w:cs="Arial"/>
          <w:b/>
          <w:bCs/>
          <w:color w:val="auto"/>
          <w:sz w:val="22"/>
          <w:szCs w:val="22"/>
        </w:rPr>
      </w:pPr>
      <w:r w:rsidRPr="00E43C5A">
        <w:rPr>
          <w:rFonts w:ascii="Arial" w:hAnsi="Arial" w:cs="Arial"/>
          <w:b/>
          <w:bCs/>
          <w:color w:val="auto"/>
          <w:sz w:val="22"/>
          <w:szCs w:val="22"/>
        </w:rPr>
        <w:t>Upon successful completion of this course students should be able to do the following:</w:t>
      </w:r>
    </w:p>
    <w:p w14:paraId="7708F4D9" w14:textId="77777777" w:rsidR="00E43C5A" w:rsidRPr="00E43C5A" w:rsidRDefault="00E43C5A" w:rsidP="00E43C5A">
      <w:pPr>
        <w:spacing w:after="0"/>
        <w:ind w:left="360"/>
        <w:rPr>
          <w:rFonts w:ascii="Arial" w:hAnsi="Arial" w:cs="Arial"/>
          <w:color w:val="auto"/>
          <w:sz w:val="22"/>
          <w:szCs w:val="22"/>
        </w:rPr>
      </w:pPr>
    </w:p>
    <w:tbl>
      <w:tblPr>
        <w:tblW w:w="9334" w:type="dxa"/>
        <w:tblCellSpacing w:w="0" w:type="dxa"/>
        <w:tblBorders>
          <w:top w:val="single" w:sz="6" w:space="0" w:color="000000"/>
          <w:left w:val="single" w:sz="6" w:space="0" w:color="000000"/>
        </w:tblBorders>
        <w:tblLook w:val="04A0" w:firstRow="1" w:lastRow="0" w:firstColumn="1" w:lastColumn="0" w:noHBand="0" w:noVBand="1"/>
      </w:tblPr>
      <w:tblGrid>
        <w:gridCol w:w="525"/>
        <w:gridCol w:w="8809"/>
      </w:tblGrid>
      <w:tr w:rsidR="00E43C5A" w:rsidRPr="00E43C5A" w14:paraId="05439763"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2DA6163B"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1 -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57AF9067"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Explain how the United States manages crime, articulating what is considered justice   </w:t>
            </w:r>
          </w:p>
        </w:tc>
      </w:tr>
      <w:tr w:rsidR="00E43C5A" w:rsidRPr="00E43C5A" w14:paraId="572CF4D2" w14:textId="77777777" w:rsidTr="00E43C5A">
        <w:trPr>
          <w:tblCellSpacing w:w="0" w:type="dxa"/>
        </w:trPr>
        <w:tc>
          <w:tcPr>
            <w:tcW w:w="525"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D136DE3"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2 - </w:t>
            </w:r>
          </w:p>
        </w:tc>
        <w:tc>
          <w:tcPr>
            <w:tcW w:w="880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D6B446E"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Outline crime statistics in the United States with particular emphasis on how crime data is collected.   </w:t>
            </w:r>
          </w:p>
        </w:tc>
      </w:tr>
      <w:tr w:rsidR="00E43C5A" w:rsidRPr="00E43C5A" w14:paraId="4E35DBE7"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72B8F35A"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3 -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3C5CC672"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Describe the role, mission, legal aspects and challenges of policing in the United States.   </w:t>
            </w:r>
          </w:p>
        </w:tc>
      </w:tr>
      <w:tr w:rsidR="00E43C5A" w:rsidRPr="00E43C5A" w14:paraId="1F4AB239" w14:textId="77777777" w:rsidTr="00E43C5A">
        <w:trPr>
          <w:tblCellSpacing w:w="0" w:type="dxa"/>
        </w:trPr>
        <w:tc>
          <w:tcPr>
            <w:tcW w:w="525"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3421A9E"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4 - </w:t>
            </w:r>
          </w:p>
        </w:tc>
        <w:tc>
          <w:tcPr>
            <w:tcW w:w="880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A03CFE1"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Describe the United States Criminal Court System including the process and participants.   </w:t>
            </w:r>
          </w:p>
        </w:tc>
      </w:tr>
      <w:tr w:rsidR="00E43C5A" w:rsidRPr="00E43C5A" w14:paraId="689AED3F"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0FA40A21"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5 -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23254A2A"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Use criminal law vocabulary correctly.   </w:t>
            </w:r>
          </w:p>
        </w:tc>
      </w:tr>
      <w:tr w:rsidR="00E43C5A" w:rsidRPr="00E43C5A" w14:paraId="1282D123" w14:textId="77777777" w:rsidTr="00E43C5A">
        <w:trPr>
          <w:tblCellSpacing w:w="0" w:type="dxa"/>
        </w:trPr>
        <w:tc>
          <w:tcPr>
            <w:tcW w:w="525"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A8C6860"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6 - </w:t>
            </w:r>
          </w:p>
        </w:tc>
        <w:tc>
          <w:tcPr>
            <w:tcW w:w="880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78CE03A"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Order and describe the common procedural steps in a criminal case.   </w:t>
            </w:r>
          </w:p>
        </w:tc>
      </w:tr>
      <w:tr w:rsidR="00E43C5A" w:rsidRPr="00E43C5A" w14:paraId="15C11467"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3F9DEACE"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lastRenderedPageBreak/>
              <w:t xml:space="preserve">7 -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2845B86E"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Describe corrections including probation and parole.   </w:t>
            </w:r>
          </w:p>
        </w:tc>
      </w:tr>
      <w:tr w:rsidR="00E43C5A" w:rsidRPr="00E43C5A" w14:paraId="2CA413DE" w14:textId="77777777" w:rsidTr="00E43C5A">
        <w:trPr>
          <w:tblCellSpacing w:w="0" w:type="dxa"/>
        </w:trPr>
        <w:tc>
          <w:tcPr>
            <w:tcW w:w="525"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386EFD" w14:textId="77777777" w:rsidR="00E43C5A" w:rsidRPr="00E43C5A" w:rsidRDefault="00E43C5A">
            <w:pPr>
              <w:spacing w:after="0"/>
              <w:rPr>
                <w:rFonts w:ascii="Arial" w:hAnsi="Arial" w:cs="Arial"/>
                <w:b/>
                <w:bCs/>
                <w:color w:val="auto"/>
                <w:sz w:val="22"/>
                <w:szCs w:val="22"/>
              </w:rPr>
            </w:pPr>
            <w:r w:rsidRPr="00E43C5A">
              <w:rPr>
                <w:rFonts w:ascii="Arial" w:hAnsi="Arial" w:cs="Arial"/>
                <w:b/>
                <w:bCs/>
                <w:color w:val="auto"/>
                <w:sz w:val="22"/>
                <w:szCs w:val="22"/>
              </w:rPr>
              <w:t xml:space="preserve">8 - </w:t>
            </w:r>
          </w:p>
        </w:tc>
        <w:tc>
          <w:tcPr>
            <w:tcW w:w="880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F06A2E6" w14:textId="77777777" w:rsidR="00E43C5A" w:rsidRPr="00E43C5A" w:rsidRDefault="00E43C5A">
            <w:pPr>
              <w:spacing w:after="0"/>
              <w:rPr>
                <w:rFonts w:ascii="Arial" w:hAnsi="Arial" w:cs="Arial"/>
                <w:color w:val="auto"/>
                <w:sz w:val="22"/>
                <w:szCs w:val="22"/>
              </w:rPr>
            </w:pPr>
            <w:r w:rsidRPr="00E43C5A">
              <w:rPr>
                <w:rFonts w:ascii="Arial" w:hAnsi="Arial" w:cs="Arial"/>
                <w:color w:val="auto"/>
                <w:sz w:val="22"/>
                <w:szCs w:val="22"/>
              </w:rPr>
              <w:t xml:space="preserve">Identify and describe various career opportunities within the field of criminal justice.   </w:t>
            </w:r>
          </w:p>
        </w:tc>
      </w:tr>
    </w:tbl>
    <w:p w14:paraId="42777B14" w14:textId="7CB997FC" w:rsidR="00770D44" w:rsidRPr="00770D44" w:rsidRDefault="00E43C5A" w:rsidP="00770D44">
      <w:pPr>
        <w:spacing w:after="0"/>
        <w:ind w:left="360"/>
        <w:rPr>
          <w:rFonts w:ascii="Arial" w:hAnsi="Arial" w:cs="Arial"/>
          <w:color w:val="auto"/>
          <w:sz w:val="22"/>
          <w:szCs w:val="22"/>
        </w:rPr>
      </w:pPr>
      <w:r w:rsidRPr="00E43C5A">
        <w:rPr>
          <w:rFonts w:ascii="Arial" w:hAnsi="Arial" w:cs="Arial"/>
          <w:color w:val="auto"/>
          <w:sz w:val="22"/>
          <w:szCs w:val="22"/>
        </w:rPr>
        <w:t xml:space="preserve">                                             </w:t>
      </w:r>
    </w:p>
    <w:p w14:paraId="5DAFCFAC" w14:textId="77777777"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005EE196" w14:textId="77777777" w:rsidR="003B0412" w:rsidRPr="00EA25B2" w:rsidRDefault="000A307C" w:rsidP="00A52EF5">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 xml:space="preserve">Department </w:t>
      </w:r>
      <w:r w:rsidR="00E63857" w:rsidRPr="00EA25B2">
        <w:rPr>
          <w:rFonts w:ascii="Arial" w:eastAsiaTheme="majorEastAsia" w:hAnsi="Arial" w:cs="Arial"/>
          <w:b/>
          <w:bCs/>
          <w:color w:val="404040" w:themeColor="text1" w:themeTint="BF"/>
          <w:sz w:val="28"/>
          <w:szCs w:val="28"/>
        </w:rPr>
        <w:t>Policies</w:t>
      </w:r>
    </w:p>
    <w:p w14:paraId="5300E9EB" w14:textId="77777777" w:rsidR="00A52EF5" w:rsidRPr="00EA25B2" w:rsidRDefault="00E63857" w:rsidP="00A52EF5">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Assessment</w:t>
      </w:r>
    </w:p>
    <w:p w14:paraId="72CBCF25" w14:textId="77777777"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 xml:space="preserve">Current event assignment: Each student will turn in a current event relating to Criminal Justice at the beginning of each class.  It can be one paragraph about something that happened in the news or you can cut and paste something you read online. YOUR NAME must be on top of the paper. This is how attendance will be taken. We will discuss some of the current events at the beginning of each class. </w:t>
      </w:r>
    </w:p>
    <w:p w14:paraId="0FD6B967" w14:textId="77777777"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Assignments and Presentation: There will be 3 group assignments and discussions during the semester. The topics will be decided by the students with the instructor’s approval. Each group will then put on a presentation.</w:t>
      </w:r>
    </w:p>
    <w:p w14:paraId="3B935ABE" w14:textId="77777777"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Quizzes: There will be 5 quizzes during the semester. They will cover the chapters and lectures. The quizzes will be True/False and Multiple Choice.</w:t>
      </w:r>
    </w:p>
    <w:p w14:paraId="1F0CF8F4" w14:textId="77777777"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Final Exam: The final Exam will cover all chapters and lecturers.</w:t>
      </w:r>
    </w:p>
    <w:p w14:paraId="4FB75885" w14:textId="77777777"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At the end of the semester students will be asked to complete an evaluation of this course.  This helps the Instructor to assess how the course was taught, how it can improve as a facilitator. Please make every attempt to complete this section</w:t>
      </w:r>
    </w:p>
    <w:p w14:paraId="4E346582" w14:textId="77777777" w:rsidR="002470E9" w:rsidRPr="00EA25B2" w:rsidRDefault="002470E9" w:rsidP="006831E2">
      <w:pPr>
        <w:rPr>
          <w:rFonts w:ascii="Arial" w:eastAsiaTheme="majorEastAsia" w:hAnsi="Arial" w:cs="Arial"/>
          <w:b/>
          <w:bCs/>
          <w:color w:val="549E39" w:themeColor="accent1"/>
          <w:sz w:val="22"/>
          <w:szCs w:val="22"/>
        </w:rPr>
      </w:pPr>
    </w:p>
    <w:p w14:paraId="4B2716C6" w14:textId="77777777" w:rsidR="006831E2" w:rsidRPr="00EA25B2" w:rsidRDefault="00566F99"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Grading Scale</w:t>
      </w:r>
    </w:p>
    <w:p w14:paraId="4D6A8229" w14:textId="77777777" w:rsidR="00E43C5A" w:rsidRPr="00E43C5A" w:rsidRDefault="002D5116"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E43C5A" w:rsidRPr="00E43C5A">
        <w:rPr>
          <w:rFonts w:ascii="Arial" w:hAnsi="Arial" w:cs="Arial"/>
          <w:color w:val="auto"/>
          <w:sz w:val="22"/>
          <w:szCs w:val="22"/>
        </w:rPr>
        <w:t>A   = 100-95</w:t>
      </w:r>
      <w:r w:rsidR="00E43C5A" w:rsidRPr="00E43C5A">
        <w:rPr>
          <w:rFonts w:ascii="Arial" w:hAnsi="Arial" w:cs="Arial"/>
          <w:color w:val="auto"/>
          <w:sz w:val="22"/>
          <w:szCs w:val="22"/>
        </w:rPr>
        <w:tab/>
      </w:r>
      <w:r w:rsidR="00E43C5A" w:rsidRPr="00E43C5A">
        <w:rPr>
          <w:rFonts w:ascii="Arial" w:hAnsi="Arial" w:cs="Arial"/>
          <w:color w:val="auto"/>
          <w:sz w:val="22"/>
          <w:szCs w:val="22"/>
        </w:rPr>
        <w:tab/>
        <w:t>B - = 83-80</w:t>
      </w:r>
      <w:r w:rsidR="00E43C5A" w:rsidRPr="00E43C5A">
        <w:rPr>
          <w:rFonts w:ascii="Arial" w:hAnsi="Arial" w:cs="Arial"/>
          <w:color w:val="auto"/>
          <w:sz w:val="22"/>
          <w:szCs w:val="22"/>
        </w:rPr>
        <w:tab/>
      </w:r>
      <w:r w:rsidR="00E43C5A" w:rsidRPr="00E43C5A">
        <w:rPr>
          <w:rFonts w:ascii="Arial" w:hAnsi="Arial" w:cs="Arial"/>
          <w:color w:val="auto"/>
          <w:sz w:val="22"/>
          <w:szCs w:val="22"/>
        </w:rPr>
        <w:tab/>
        <w:t>D+ = 69-67</w:t>
      </w:r>
    </w:p>
    <w:p w14:paraId="0A103331" w14:textId="77777777" w:rsidR="00E43C5A" w:rsidRPr="00E43C5A" w:rsidRDefault="00E43C5A"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sidRPr="00E43C5A">
        <w:rPr>
          <w:rFonts w:ascii="Arial" w:hAnsi="Arial" w:cs="Arial"/>
          <w:color w:val="auto"/>
          <w:sz w:val="22"/>
          <w:szCs w:val="22"/>
        </w:rPr>
        <w:tab/>
      </w:r>
      <w:r w:rsidRPr="00E43C5A">
        <w:rPr>
          <w:rFonts w:ascii="Arial" w:hAnsi="Arial" w:cs="Arial"/>
          <w:color w:val="auto"/>
          <w:sz w:val="22"/>
          <w:szCs w:val="22"/>
        </w:rPr>
        <w:tab/>
        <w:t>A - = 94-90</w:t>
      </w:r>
      <w:r w:rsidRPr="00E43C5A">
        <w:rPr>
          <w:rFonts w:ascii="Arial" w:hAnsi="Arial" w:cs="Arial"/>
          <w:color w:val="auto"/>
          <w:sz w:val="22"/>
          <w:szCs w:val="22"/>
        </w:rPr>
        <w:tab/>
      </w:r>
      <w:r w:rsidRPr="00E43C5A">
        <w:rPr>
          <w:rFonts w:ascii="Arial" w:hAnsi="Arial" w:cs="Arial"/>
          <w:color w:val="auto"/>
          <w:sz w:val="22"/>
          <w:szCs w:val="22"/>
        </w:rPr>
        <w:tab/>
        <w:t>C+ = 79-77</w:t>
      </w:r>
      <w:r w:rsidRPr="00E43C5A">
        <w:rPr>
          <w:rFonts w:ascii="Arial" w:hAnsi="Arial" w:cs="Arial"/>
          <w:color w:val="auto"/>
          <w:sz w:val="22"/>
          <w:szCs w:val="22"/>
        </w:rPr>
        <w:tab/>
      </w:r>
      <w:r w:rsidRPr="00E43C5A">
        <w:rPr>
          <w:rFonts w:ascii="Arial" w:hAnsi="Arial" w:cs="Arial"/>
          <w:color w:val="auto"/>
          <w:sz w:val="22"/>
          <w:szCs w:val="22"/>
        </w:rPr>
        <w:tab/>
        <w:t>D   = 66-64</w:t>
      </w:r>
    </w:p>
    <w:p w14:paraId="2A889F8A" w14:textId="77777777" w:rsidR="00E43C5A" w:rsidRPr="00E43C5A" w:rsidRDefault="00E43C5A"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sidRPr="00E43C5A">
        <w:rPr>
          <w:rFonts w:ascii="Arial" w:hAnsi="Arial" w:cs="Arial"/>
          <w:color w:val="auto"/>
          <w:sz w:val="22"/>
          <w:szCs w:val="22"/>
        </w:rPr>
        <w:tab/>
      </w:r>
      <w:r w:rsidRPr="00E43C5A">
        <w:rPr>
          <w:rFonts w:ascii="Arial" w:hAnsi="Arial" w:cs="Arial"/>
          <w:color w:val="auto"/>
          <w:sz w:val="22"/>
          <w:szCs w:val="22"/>
        </w:rPr>
        <w:tab/>
        <w:t>B+ = 89-87</w:t>
      </w:r>
      <w:r w:rsidRPr="00E43C5A">
        <w:rPr>
          <w:rFonts w:ascii="Arial" w:hAnsi="Arial" w:cs="Arial"/>
          <w:color w:val="auto"/>
          <w:sz w:val="22"/>
          <w:szCs w:val="22"/>
        </w:rPr>
        <w:tab/>
      </w:r>
      <w:r w:rsidRPr="00E43C5A">
        <w:rPr>
          <w:rFonts w:ascii="Arial" w:hAnsi="Arial" w:cs="Arial"/>
          <w:color w:val="auto"/>
          <w:sz w:val="22"/>
          <w:szCs w:val="22"/>
        </w:rPr>
        <w:tab/>
        <w:t>C   = 76-74</w:t>
      </w:r>
      <w:r w:rsidRPr="00E43C5A">
        <w:rPr>
          <w:rFonts w:ascii="Arial" w:hAnsi="Arial" w:cs="Arial"/>
          <w:color w:val="auto"/>
          <w:sz w:val="22"/>
          <w:szCs w:val="22"/>
        </w:rPr>
        <w:tab/>
      </w:r>
      <w:r w:rsidRPr="00E43C5A">
        <w:rPr>
          <w:rFonts w:ascii="Arial" w:hAnsi="Arial" w:cs="Arial"/>
          <w:color w:val="auto"/>
          <w:sz w:val="22"/>
          <w:szCs w:val="22"/>
        </w:rPr>
        <w:tab/>
        <w:t>D - = 63-60</w:t>
      </w:r>
    </w:p>
    <w:p w14:paraId="565D4893" w14:textId="77777777" w:rsidR="00E43C5A" w:rsidRPr="00E43C5A" w:rsidRDefault="00E43C5A"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sidRPr="00E43C5A">
        <w:rPr>
          <w:rFonts w:ascii="Arial" w:hAnsi="Arial" w:cs="Arial"/>
          <w:color w:val="auto"/>
          <w:sz w:val="22"/>
          <w:szCs w:val="22"/>
        </w:rPr>
        <w:tab/>
      </w:r>
      <w:r w:rsidRPr="00E43C5A">
        <w:rPr>
          <w:rFonts w:ascii="Arial" w:hAnsi="Arial" w:cs="Arial"/>
          <w:color w:val="auto"/>
          <w:sz w:val="22"/>
          <w:szCs w:val="22"/>
        </w:rPr>
        <w:tab/>
        <w:t>B   = 86-84</w:t>
      </w:r>
      <w:r w:rsidRPr="00E43C5A">
        <w:rPr>
          <w:rFonts w:ascii="Arial" w:hAnsi="Arial" w:cs="Arial"/>
          <w:color w:val="auto"/>
          <w:sz w:val="22"/>
          <w:szCs w:val="22"/>
        </w:rPr>
        <w:tab/>
      </w:r>
      <w:r w:rsidRPr="00E43C5A">
        <w:rPr>
          <w:rFonts w:ascii="Arial" w:hAnsi="Arial" w:cs="Arial"/>
          <w:color w:val="auto"/>
          <w:sz w:val="22"/>
          <w:szCs w:val="22"/>
        </w:rPr>
        <w:tab/>
        <w:t>C - = 73-70</w:t>
      </w:r>
      <w:r w:rsidRPr="00E43C5A">
        <w:rPr>
          <w:rFonts w:ascii="Arial" w:hAnsi="Arial" w:cs="Arial"/>
          <w:color w:val="auto"/>
          <w:sz w:val="22"/>
          <w:szCs w:val="22"/>
        </w:rPr>
        <w:tab/>
      </w:r>
      <w:r w:rsidRPr="00E43C5A">
        <w:rPr>
          <w:rFonts w:ascii="Arial" w:hAnsi="Arial" w:cs="Arial"/>
          <w:color w:val="auto"/>
          <w:sz w:val="22"/>
          <w:szCs w:val="22"/>
        </w:rPr>
        <w:tab/>
        <w:t xml:space="preserve">F    = 59-0 </w:t>
      </w:r>
    </w:p>
    <w:p w14:paraId="35A18F02" w14:textId="62BED126" w:rsidR="006831E2" w:rsidRPr="00EA25B2" w:rsidRDefault="006831E2"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EA25B2">
        <w:rPr>
          <w:rFonts w:ascii="Arial" w:hAnsi="Arial" w:cs="Arial"/>
          <w:sz w:val="22"/>
          <w:szCs w:val="22"/>
        </w:rPr>
        <w:tab/>
        <w:t xml:space="preserve"> </w:t>
      </w:r>
    </w:p>
    <w:p w14:paraId="11F81AD8" w14:textId="77777777" w:rsidR="00194998" w:rsidRPr="00EA25B2" w:rsidRDefault="00194998" w:rsidP="00194998">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Grades and Credit</w:t>
      </w:r>
    </w:p>
    <w:p w14:paraId="762A7F25" w14:textId="6A67BA08" w:rsidR="00194998" w:rsidRPr="00EA25B2" w:rsidRDefault="00194998" w:rsidP="00194998">
      <w:pPr>
        <w:rPr>
          <w:rFonts w:ascii="Arial" w:hAnsi="Arial" w:cs="Arial"/>
          <w:color w:val="auto"/>
          <w:sz w:val="22"/>
          <w:szCs w:val="22"/>
        </w:rPr>
      </w:pPr>
      <w:r w:rsidRPr="00EA25B2">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2858C1D0" w14:textId="25A26899" w:rsidR="007E4222" w:rsidRPr="00EA25B2" w:rsidRDefault="007E4222" w:rsidP="00194998">
      <w:pPr>
        <w:rPr>
          <w:rFonts w:ascii="Arial" w:hAnsi="Arial" w:cs="Arial"/>
          <w:color w:val="auto"/>
          <w:sz w:val="22"/>
          <w:szCs w:val="22"/>
        </w:rPr>
      </w:pPr>
      <w:r w:rsidRPr="00EA25B2">
        <w:rPr>
          <w:rFonts w:ascii="Arial" w:hAnsi="Arial" w:cs="Arial"/>
          <w:color w:val="auto"/>
          <w:sz w:val="22"/>
          <w:szCs w:val="22"/>
          <w:shd w:val="clear" w:color="auto" w:fill="FFFFFF"/>
        </w:rPr>
        <w:t>Grades are determined by instructors, based upon measures determined by the instructor and department and may include: evaluation of responses, written exercises and examinations, performance exercises and examinations, classroom/laboratory contributions, mastery of pertinent skills, etc. The letter grade “A” is an exceptional grade indicating superior achievement; “B” is a grade indicating commendable mastery; “C” indicates satisfactory mastery and is considered an average grade; “D” indicates substandard progress and insufficient evidence of ability to succeed in sequential courses; “E” (failing) indicates inadequate mastery of pertinent skills or repeated absences from class; “UW” indicates unofficial withdrawal from class.</w:t>
      </w:r>
    </w:p>
    <w:p w14:paraId="575CB4DD" w14:textId="77777777" w:rsidR="004451C7" w:rsidRPr="00EA25B2" w:rsidRDefault="00A52EF5" w:rsidP="00A368A6">
      <w:pPr>
        <w:rPr>
          <w:rFonts w:ascii="Arial" w:hAnsi="Arial" w:cs="Arial"/>
          <w:sz w:val="22"/>
          <w:szCs w:val="22"/>
        </w:rPr>
      </w:pPr>
      <w:r w:rsidRPr="00EA25B2">
        <w:rPr>
          <w:rFonts w:ascii="Arial" w:hAnsi="Arial" w:cs="Arial"/>
          <w:sz w:val="22"/>
          <w:szCs w:val="22"/>
        </w:rPr>
        <w:t xml:space="preserve"> </w:t>
      </w:r>
    </w:p>
    <w:p w14:paraId="22710A0C" w14:textId="77777777" w:rsidR="00770D44" w:rsidRDefault="00770D44" w:rsidP="00A368A6">
      <w:pPr>
        <w:rPr>
          <w:rFonts w:ascii="Arial" w:eastAsiaTheme="majorEastAsia" w:hAnsi="Arial" w:cs="Arial"/>
          <w:b/>
          <w:bCs/>
          <w:color w:val="404040" w:themeColor="text1" w:themeTint="BF"/>
          <w:sz w:val="28"/>
          <w:szCs w:val="28"/>
        </w:rPr>
      </w:pPr>
    </w:p>
    <w:p w14:paraId="3959DDFE" w14:textId="77777777" w:rsidR="009D680B" w:rsidRPr="00EA25B2" w:rsidRDefault="009D680B" w:rsidP="009D680B">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lastRenderedPageBreak/>
        <w:t>University Policies</w:t>
      </w:r>
    </w:p>
    <w:p w14:paraId="47A61F08" w14:textId="77777777" w:rsidR="009D680B" w:rsidRPr="00EA25B2" w:rsidRDefault="009D680B" w:rsidP="009D680B">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4B0153DE" w14:textId="77777777" w:rsidR="009D680B" w:rsidRPr="00EA25B2" w:rsidRDefault="009D680B" w:rsidP="009D680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0CFB3CF3" w14:textId="77777777" w:rsidR="009D680B" w:rsidRPr="00EA25B2" w:rsidRDefault="009D680B" w:rsidP="009D680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1D5DECD4" w14:textId="77777777" w:rsidR="009D680B" w:rsidRPr="00EA25B2" w:rsidRDefault="009D680B" w:rsidP="009D680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In keeping with UVU policy, evidence of academic dishonesty may result in a failing grade in the course and disciplinary review by the college.  Any student caught cheating will receive, at minimum, zero points on that particular assignment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37533D7C" w14:textId="77777777" w:rsidR="009D680B" w:rsidRPr="00EA25B2" w:rsidRDefault="009D680B" w:rsidP="009D680B">
      <w:pPr>
        <w:pStyle w:val="NormalWeb"/>
        <w:spacing w:before="0" w:beforeAutospacing="0" w:after="0" w:afterAutospacing="0" w:line="330" w:lineRule="atLeast"/>
        <w:textAlignment w:val="baseline"/>
        <w:rPr>
          <w:rFonts w:ascii="Arial" w:hAnsi="Arial" w:cs="Arial"/>
          <w:color w:val="666666"/>
          <w:spacing w:val="8"/>
          <w:sz w:val="18"/>
          <w:szCs w:val="18"/>
        </w:rPr>
      </w:pPr>
    </w:p>
    <w:p w14:paraId="0F6A87EE" w14:textId="77777777" w:rsidR="009D680B" w:rsidRPr="00EA25B2" w:rsidRDefault="009D680B" w:rsidP="009D680B">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04ED6CB0" w14:textId="77777777" w:rsidR="009D680B" w:rsidRPr="00F14835" w:rsidRDefault="009D680B" w:rsidP="009D680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perform contracted 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236F4A65" w14:textId="77777777" w:rsidR="009D680B" w:rsidRPr="00EA25B2" w:rsidRDefault="009D680B" w:rsidP="009D680B">
      <w:pPr>
        <w:shd w:val="clear" w:color="auto" w:fill="FFFFFF"/>
        <w:spacing w:after="0"/>
        <w:textAlignment w:val="baseline"/>
        <w:rPr>
          <w:rFonts w:ascii="Arial" w:eastAsia="Times New Roman" w:hAnsi="Arial" w:cs="Arial"/>
          <w:color w:val="auto"/>
          <w:sz w:val="22"/>
          <w:szCs w:val="22"/>
          <w:lang w:eastAsia="en-US"/>
        </w:rPr>
      </w:pPr>
    </w:p>
    <w:p w14:paraId="7F85CFD7" w14:textId="77777777" w:rsidR="009D680B" w:rsidRPr="00F14835" w:rsidRDefault="009D680B" w:rsidP="009D680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4B83726D" w14:textId="77777777" w:rsidR="009D680B" w:rsidRPr="00EA25B2" w:rsidRDefault="009D680B" w:rsidP="009D680B">
      <w:pPr>
        <w:shd w:val="clear" w:color="auto" w:fill="FFFFFF"/>
        <w:spacing w:after="0"/>
        <w:textAlignment w:val="baseline"/>
        <w:rPr>
          <w:rFonts w:ascii="Arial" w:eastAsia="Times New Roman" w:hAnsi="Arial" w:cs="Arial"/>
          <w:color w:val="auto"/>
          <w:sz w:val="22"/>
          <w:szCs w:val="22"/>
          <w:lang w:eastAsia="en-US"/>
        </w:rPr>
      </w:pPr>
    </w:p>
    <w:p w14:paraId="0CC99B3D" w14:textId="77777777" w:rsidR="009D680B" w:rsidRPr="00EA25B2" w:rsidRDefault="009D680B" w:rsidP="009D680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9" w:history="1">
        <w:r w:rsidRPr="00EA25B2">
          <w:rPr>
            <w:rFonts w:ascii="Arial" w:hAnsi="Arial" w:cs="Arial"/>
            <w:bCs/>
            <w:color w:val="auto"/>
            <w:sz w:val="22"/>
            <w:szCs w:val="22"/>
            <w:shd w:val="clear" w:color="auto" w:fill="FFFFFF"/>
          </w:rPr>
          <w:t>http://www.uvu.edu/studentconduct/students/</w:t>
        </w:r>
      </w:hyperlink>
    </w:p>
    <w:p w14:paraId="2D552C42" w14:textId="77777777" w:rsidR="009D680B" w:rsidRDefault="009D680B" w:rsidP="009D680B">
      <w:pPr>
        <w:rPr>
          <w:rFonts w:ascii="Arial" w:hAnsi="Arial" w:cs="Arial"/>
          <w:b/>
          <w:color w:val="549E39" w:themeColor="accent1"/>
          <w:sz w:val="22"/>
          <w:szCs w:val="22"/>
        </w:rPr>
      </w:pPr>
    </w:p>
    <w:p w14:paraId="378FA330" w14:textId="77777777" w:rsidR="009D680B" w:rsidRPr="00DF1766" w:rsidRDefault="009D680B" w:rsidP="009D680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1C743FA8" w14:textId="77777777" w:rsidR="009D680B" w:rsidRDefault="009D680B" w:rsidP="009D680B">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make contact with faculty members when unable to do so. </w:t>
      </w:r>
    </w:p>
    <w:p w14:paraId="32BAD3FE" w14:textId="77777777" w:rsidR="009D680B" w:rsidRPr="00DF1766" w:rsidRDefault="009D680B" w:rsidP="009D680B">
      <w:pPr>
        <w:widowControl w:val="0"/>
        <w:rPr>
          <w:rFonts w:ascii="Arial" w:hAnsi="Arial" w:cs="Arial"/>
          <w:color w:val="auto"/>
          <w:sz w:val="22"/>
          <w:szCs w:val="22"/>
        </w:rPr>
      </w:pPr>
    </w:p>
    <w:p w14:paraId="44638772" w14:textId="77777777" w:rsidR="009D680B" w:rsidRPr="00DF1766" w:rsidRDefault="009D680B" w:rsidP="009D680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395007E4"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4E4B89BF"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42F04F03"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lastRenderedPageBreak/>
        <w:t>Withdrawing from a course may impact your financial aid status. For more information, see: UVU Financial Aid.</w:t>
      </w:r>
    </w:p>
    <w:p w14:paraId="1813EBC7" w14:textId="77777777" w:rsidR="009D680B" w:rsidRPr="002B1F2A" w:rsidRDefault="009D680B" w:rsidP="009D680B">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4F48E1EC" w14:textId="77777777" w:rsidR="009D680B" w:rsidRPr="002B1F2A" w:rsidRDefault="009D680B" w:rsidP="009D680B">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3A0FF027"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107CE4B5"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225EB3BF"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26225E83"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0F907CF1" w14:textId="77777777" w:rsidR="009D680B" w:rsidRDefault="009D680B" w:rsidP="009D680B">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3515E99E" w14:textId="77777777" w:rsidR="009D680B" w:rsidRDefault="009D680B" w:rsidP="009D680B">
      <w:pPr>
        <w:ind w:left="720"/>
        <w:rPr>
          <w:rFonts w:ascii="Arial" w:hAnsi="Arial" w:cs="Arial"/>
          <w:color w:val="auto"/>
          <w:sz w:val="22"/>
          <w:szCs w:val="22"/>
        </w:rPr>
      </w:pPr>
      <w:r w:rsidRPr="002B1F2A">
        <w:rPr>
          <w:rFonts w:ascii="Arial" w:hAnsi="Arial" w:cs="Arial"/>
          <w:color w:val="auto"/>
          <w:sz w:val="22"/>
          <w:szCs w:val="22"/>
        </w:rPr>
        <w:t xml:space="preserve">b) Listing sources in a bibliography not used in the academic exercise. </w:t>
      </w:r>
    </w:p>
    <w:p w14:paraId="24B0117D" w14:textId="77777777" w:rsidR="009D680B" w:rsidRDefault="009D680B" w:rsidP="009D680B">
      <w:pPr>
        <w:ind w:left="720"/>
        <w:rPr>
          <w:rFonts w:ascii="Arial" w:hAnsi="Arial" w:cs="Arial"/>
          <w:color w:val="auto"/>
          <w:sz w:val="22"/>
          <w:szCs w:val="22"/>
        </w:rPr>
      </w:pPr>
      <w:r w:rsidRPr="002B1F2A">
        <w:rPr>
          <w:rFonts w:ascii="Arial" w:hAnsi="Arial" w:cs="Arial"/>
          <w:color w:val="auto"/>
          <w:sz w:val="22"/>
          <w:szCs w:val="22"/>
        </w:rPr>
        <w:t>c) Submission in a paper, thesis, lab report, or other academic exercise of falsified, invented, or fictitious data or evidence, or deliberate and knowing concealment or distortion of the true nature, origin, or function of such data or evidence.</w:t>
      </w:r>
    </w:p>
    <w:p w14:paraId="119BC001" w14:textId="77777777" w:rsidR="009D680B" w:rsidRPr="002B1F2A" w:rsidRDefault="009D680B" w:rsidP="009D680B">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1F21A6CE" w14:textId="77777777" w:rsidR="009D680B" w:rsidRPr="00EA25B2" w:rsidRDefault="009D680B" w:rsidP="009D680B">
      <w:pPr>
        <w:pStyle w:val="Default"/>
        <w:rPr>
          <w:rFonts w:ascii="Arial" w:hAnsi="Arial" w:cs="Arial"/>
          <w:sz w:val="22"/>
          <w:szCs w:val="22"/>
        </w:rPr>
      </w:pPr>
    </w:p>
    <w:p w14:paraId="6908E867" w14:textId="77777777" w:rsidR="009D680B" w:rsidRPr="00EA25B2" w:rsidRDefault="009D680B" w:rsidP="009D680B">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t>Students with Disabilities</w:t>
      </w:r>
    </w:p>
    <w:p w14:paraId="15C8A0C5" w14:textId="77777777" w:rsidR="009D680B" w:rsidRPr="00EA25B2" w:rsidRDefault="009D680B" w:rsidP="009D680B">
      <w:pPr>
        <w:pStyle w:val="Default"/>
        <w:rPr>
          <w:rFonts w:ascii="Arial" w:eastAsiaTheme="minorHAnsi" w:hAnsi="Arial" w:cs="Arial"/>
          <w:color w:val="808080" w:themeColor="background1" w:themeShade="80"/>
          <w:sz w:val="22"/>
          <w:szCs w:val="22"/>
          <w:lang w:eastAsia="ja-JP"/>
        </w:rPr>
      </w:pPr>
    </w:p>
    <w:p w14:paraId="4CCC67E1" w14:textId="77777777" w:rsidR="009D680B" w:rsidRPr="00EA25B2" w:rsidRDefault="009D680B" w:rsidP="009D680B">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0"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58B9F30F" w14:textId="77777777" w:rsidR="009D680B" w:rsidRDefault="009D680B" w:rsidP="009D680B">
      <w:pPr>
        <w:rPr>
          <w:rFonts w:ascii="Arial" w:hAnsi="Arial" w:cs="Arial"/>
          <w:b/>
          <w:color w:val="549E39" w:themeColor="accent1"/>
          <w:sz w:val="22"/>
          <w:szCs w:val="22"/>
        </w:rPr>
      </w:pPr>
      <w:r w:rsidRPr="00354203">
        <w:rPr>
          <w:rFonts w:ascii="Arial" w:hAnsi="Arial" w:cs="Arial"/>
          <w:b/>
          <w:color w:val="549E39" w:themeColor="accent1"/>
          <w:sz w:val="22"/>
          <w:szCs w:val="22"/>
        </w:rPr>
        <w:t>Religious Accommodations</w:t>
      </w:r>
    </w:p>
    <w:p w14:paraId="70AE7BDC" w14:textId="77777777" w:rsidR="009D680B" w:rsidRPr="00354203" w:rsidRDefault="009D680B" w:rsidP="009D680B">
      <w:pPr>
        <w:rPr>
          <w:rFonts w:ascii="Arial" w:hAnsi="Arial" w:cs="Arial"/>
          <w:color w:val="auto"/>
          <w:sz w:val="22"/>
          <w:szCs w:val="22"/>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70D298F6" w14:textId="77777777" w:rsidR="009D680B" w:rsidRPr="00D551E9" w:rsidRDefault="009D680B" w:rsidP="009D680B">
      <w:pPr>
        <w:pStyle w:val="Default"/>
        <w:rPr>
          <w:rFonts w:ascii="Arial" w:hAnsi="Arial" w:cs="Arial"/>
          <w:color w:val="auto"/>
          <w:sz w:val="22"/>
          <w:szCs w:val="22"/>
        </w:rPr>
      </w:pPr>
    </w:p>
    <w:p w14:paraId="5A4300E3" w14:textId="77777777" w:rsidR="009D680B" w:rsidRDefault="009D680B" w:rsidP="009D680B">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5785F77B" w14:textId="77777777" w:rsidR="009D680B" w:rsidRDefault="009D680B" w:rsidP="009D680B">
      <w:pPr>
        <w:pStyle w:val="Default"/>
        <w:rPr>
          <w:rFonts w:ascii="Arial" w:hAnsi="Arial" w:cs="Arial"/>
          <w:b/>
          <w:bCs/>
          <w:color w:val="549E39" w:themeColor="accent1"/>
          <w:sz w:val="22"/>
          <w:szCs w:val="22"/>
        </w:rPr>
      </w:pPr>
    </w:p>
    <w:p w14:paraId="4973FC8E" w14:textId="77777777" w:rsidR="009D680B" w:rsidRPr="00D551E9" w:rsidRDefault="009D680B" w:rsidP="009D680B">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01ACA962" w14:textId="77777777" w:rsidR="009D680B" w:rsidRPr="00D551E9" w:rsidRDefault="009D680B" w:rsidP="009D680B">
      <w:pPr>
        <w:pStyle w:val="Default"/>
        <w:rPr>
          <w:rFonts w:ascii="Arial" w:hAnsi="Arial" w:cs="Arial"/>
          <w:sz w:val="22"/>
          <w:szCs w:val="22"/>
        </w:rPr>
      </w:pPr>
    </w:p>
    <w:p w14:paraId="57EAC741" w14:textId="77777777" w:rsidR="009D680B" w:rsidRDefault="009D680B" w:rsidP="009D680B">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Discriminatory, Exclusionary, or Disruptive Behavior</w:t>
      </w:r>
    </w:p>
    <w:p w14:paraId="64EADA5C" w14:textId="77777777" w:rsidR="009D680B" w:rsidRDefault="009D680B" w:rsidP="009D680B">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20C7F2C9" w14:textId="77777777" w:rsidR="009D680B" w:rsidRDefault="009D680B" w:rsidP="009D680B">
      <w:pPr>
        <w:widowControl w:val="0"/>
        <w:rPr>
          <w:rFonts w:ascii="Arial" w:hAnsi="Arial" w:cs="Arial"/>
          <w:b/>
          <w:color w:val="auto"/>
          <w:sz w:val="22"/>
          <w:szCs w:val="22"/>
        </w:rPr>
      </w:pPr>
    </w:p>
    <w:p w14:paraId="31B9CA0F" w14:textId="77777777" w:rsidR="009D680B" w:rsidRPr="00DF1766" w:rsidRDefault="009D680B" w:rsidP="009D680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3F896E67"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reviews, discussion and group activities. </w:t>
      </w:r>
    </w:p>
    <w:p w14:paraId="165D2DCD" w14:textId="77777777" w:rsidR="009D680B" w:rsidRPr="00D551E9" w:rsidRDefault="009D680B" w:rsidP="009D680B">
      <w:pPr>
        <w:pStyle w:val="Default"/>
        <w:rPr>
          <w:rFonts w:ascii="Arial" w:hAnsi="Arial" w:cs="Arial"/>
          <w:sz w:val="22"/>
          <w:szCs w:val="22"/>
        </w:rPr>
      </w:pPr>
    </w:p>
    <w:p w14:paraId="0FB2D6C9" w14:textId="77777777" w:rsidR="009D680B" w:rsidRPr="00354203" w:rsidRDefault="009D680B" w:rsidP="009D680B">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5AE6912B" w14:textId="77777777" w:rsidR="009D680B" w:rsidRPr="00D551E9" w:rsidRDefault="009D680B" w:rsidP="009D680B">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541: Student Rights and Responsibilities Code </w:t>
      </w:r>
      <w:hyperlink r:id="rId11" w:history="1">
        <w:r w:rsidRPr="00D551E9">
          <w:rPr>
            <w:rStyle w:val="Hyperlink"/>
            <w:rFonts w:ascii="Arial" w:eastAsiaTheme="majorEastAsia" w:hAnsi="Arial" w:cs="Arial"/>
            <w:sz w:val="22"/>
            <w:szCs w:val="22"/>
          </w:rPr>
          <w:t>https://www.uvu.edu/catalog/current/policies-requirements/student-rights-and-responsibilities.html</w:t>
        </w:r>
      </w:hyperlink>
    </w:p>
    <w:p w14:paraId="5A5C08A5" w14:textId="77777777" w:rsidR="009D680B" w:rsidRPr="00D551E9" w:rsidRDefault="009D680B" w:rsidP="009D680B">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601: Classroom Instruction and Management. </w:t>
      </w:r>
      <w:hyperlink r:id="rId12" w:history="1">
        <w:r w:rsidRPr="00D551E9">
          <w:rPr>
            <w:rStyle w:val="Hyperlink"/>
            <w:rFonts w:ascii="Arial" w:eastAsiaTheme="majorEastAsia" w:hAnsi="Arial" w:cs="Arial"/>
            <w:sz w:val="22"/>
            <w:szCs w:val="22"/>
          </w:rPr>
          <w:t>https://policy.uvu.edu/getDisplayFile/5750ed2697e4c89872d95664</w:t>
        </w:r>
      </w:hyperlink>
    </w:p>
    <w:p w14:paraId="17C47C9B" w14:textId="77777777" w:rsidR="009D680B" w:rsidRPr="00D551E9" w:rsidRDefault="009D680B" w:rsidP="009D680B">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3" w:history="1">
        <w:r w:rsidRPr="00B41704">
          <w:rPr>
            <w:rStyle w:val="Hyperlink"/>
            <w:rFonts w:ascii="Arial" w:eastAsiaTheme="majorEastAsia" w:hAnsi="Arial" w:cs="Arial"/>
            <w:sz w:val="22"/>
            <w:szCs w:val="22"/>
          </w:rPr>
          <w:t>https://policy.uvu.edu/getDisplayFile/563a40bc65db23201153c27d</w:t>
        </w:r>
      </w:hyperlink>
    </w:p>
    <w:p w14:paraId="67ED17E7" w14:textId="77777777" w:rsidR="009D680B" w:rsidRDefault="009D680B" w:rsidP="009D680B">
      <w:pPr>
        <w:pBdr>
          <w:top w:val="nil"/>
          <w:left w:val="nil"/>
          <w:bottom w:val="nil"/>
          <w:right w:val="nil"/>
          <w:between w:val="nil"/>
        </w:pBdr>
        <w:rPr>
          <w:rFonts w:ascii="Arial" w:eastAsia="Calibri" w:hAnsi="Arial" w:cs="Arial"/>
          <w:b/>
          <w:color w:val="549E39" w:themeColor="accent1"/>
          <w:sz w:val="22"/>
          <w:szCs w:val="22"/>
        </w:rPr>
      </w:pPr>
    </w:p>
    <w:p w14:paraId="0DBAF1B5" w14:textId="77777777" w:rsidR="009D680B" w:rsidRPr="00DF1766" w:rsidRDefault="009D680B" w:rsidP="009D680B">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t>Definitions</w:t>
      </w:r>
    </w:p>
    <w:p w14:paraId="57D758BC" w14:textId="77777777" w:rsidR="009D680B" w:rsidRPr="00DF1766" w:rsidRDefault="009D680B" w:rsidP="009D680B">
      <w:pPr>
        <w:numPr>
          <w:ilvl w:val="1"/>
          <w:numId w:val="16"/>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t>Syllabus: An agreement between faculty and students that communicates course structure, schedule, student expectations, expected course outcomes, and methods of assessment to students.</w:t>
      </w:r>
    </w:p>
    <w:p w14:paraId="7B741609" w14:textId="77777777" w:rsidR="009D680B" w:rsidRPr="00EA25B2" w:rsidRDefault="009D680B" w:rsidP="009D680B">
      <w:pPr>
        <w:pStyle w:val="Heading3"/>
        <w:rPr>
          <w:rFonts w:ascii="Arial" w:hAnsi="Arial" w:cs="Arial"/>
          <w:b/>
          <w:bCs/>
          <w:color w:val="549E39" w:themeColor="accent1"/>
          <w:sz w:val="20"/>
          <w:szCs w:val="20"/>
        </w:rPr>
      </w:pPr>
    </w:p>
    <w:p w14:paraId="2F7E4D22" w14:textId="77777777" w:rsidR="009D680B" w:rsidRPr="00EA25B2" w:rsidRDefault="009D680B" w:rsidP="009D680B">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1B61E08E" w14:textId="77777777" w:rsidR="009D680B" w:rsidRPr="00EA25B2" w:rsidRDefault="009D680B" w:rsidP="009D680B">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14F05AD7" w14:textId="77777777" w:rsidR="009D680B" w:rsidRDefault="009D680B" w:rsidP="009D680B">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63D9A6DF" w14:textId="77777777" w:rsidR="009D680B" w:rsidRPr="00DF1766" w:rsidRDefault="009D680B" w:rsidP="009D680B">
      <w:pPr>
        <w:pStyle w:val="Title"/>
        <w:rPr>
          <w:rFonts w:ascii="Arial" w:hAnsi="Arial" w:cs="Arial"/>
          <w:color w:val="auto"/>
          <w:sz w:val="22"/>
          <w:szCs w:val="22"/>
        </w:rPr>
      </w:pPr>
      <w:r w:rsidRPr="00DF1766">
        <w:rPr>
          <w:rFonts w:ascii="Arial" w:hAnsi="Arial" w:cs="Arial"/>
          <w:color w:val="auto"/>
          <w:sz w:val="22"/>
          <w:szCs w:val="22"/>
        </w:rPr>
        <w:t>Due dates and this syllabus may change at the instructor’s discretion due to the needs of the class members.</w:t>
      </w:r>
    </w:p>
    <w:p w14:paraId="33734482" w14:textId="6326BBDA" w:rsidR="00B6590A" w:rsidRPr="00EA25B2" w:rsidRDefault="00B6590A" w:rsidP="009D680B">
      <w:pPr>
        <w:rPr>
          <w:rFonts w:ascii="Arial" w:hAnsi="Arial" w:cs="Arial"/>
          <w:color w:val="auto"/>
          <w:sz w:val="22"/>
          <w:szCs w:val="22"/>
        </w:rPr>
      </w:pPr>
    </w:p>
    <w:sectPr w:rsidR="00B6590A" w:rsidRPr="00EA25B2" w:rsidSect="003B0412">
      <w:footerReference w:type="default" r:id="rId14"/>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2EE3" w14:textId="77777777" w:rsidR="00B86749" w:rsidRDefault="00B86749">
      <w:pPr>
        <w:spacing w:after="0"/>
      </w:pPr>
      <w:r>
        <w:separator/>
      </w:r>
    </w:p>
  </w:endnote>
  <w:endnote w:type="continuationSeparator" w:id="0">
    <w:p w14:paraId="0434C570" w14:textId="77777777" w:rsidR="00B86749" w:rsidRDefault="00B8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431F"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B8FE" w14:textId="77777777" w:rsidR="00B86749" w:rsidRDefault="00B86749">
      <w:pPr>
        <w:spacing w:after="0"/>
      </w:pPr>
      <w:r>
        <w:separator/>
      </w:r>
    </w:p>
  </w:footnote>
  <w:footnote w:type="continuationSeparator" w:id="0">
    <w:p w14:paraId="1831B6C7" w14:textId="77777777" w:rsidR="00B86749" w:rsidRDefault="00B867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235B"/>
    <w:multiLevelType w:val="hybridMultilevel"/>
    <w:tmpl w:val="D13A1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6"/>
  </w:num>
  <w:num w:numId="5">
    <w:abstractNumId w:val="6"/>
    <w:lvlOverride w:ilvl="0">
      <w:startOverride w:val="1"/>
    </w:lvlOverride>
  </w:num>
  <w:num w:numId="6">
    <w:abstractNumId w:val="1"/>
  </w:num>
  <w:num w:numId="7">
    <w:abstractNumId w:val="3"/>
  </w:num>
  <w:num w:numId="8">
    <w:abstractNumId w:val="7"/>
  </w:num>
  <w:num w:numId="9">
    <w:abstractNumId w:val="5"/>
  </w:num>
  <w:num w:numId="10">
    <w:abstractNumId w:val="13"/>
  </w:num>
  <w:num w:numId="11">
    <w:abstractNumId w:val="14"/>
  </w:num>
  <w:num w:numId="12">
    <w:abstractNumId w:val="11"/>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35E18"/>
    <w:rsid w:val="0009472F"/>
    <w:rsid w:val="000A307C"/>
    <w:rsid w:val="000B5D22"/>
    <w:rsid w:val="000C54B8"/>
    <w:rsid w:val="000E6603"/>
    <w:rsid w:val="00100709"/>
    <w:rsid w:val="00156D5C"/>
    <w:rsid w:val="00194998"/>
    <w:rsid w:val="001E090C"/>
    <w:rsid w:val="002470E9"/>
    <w:rsid w:val="002620CF"/>
    <w:rsid w:val="002A2500"/>
    <w:rsid w:val="002D5116"/>
    <w:rsid w:val="002F238C"/>
    <w:rsid w:val="0035334F"/>
    <w:rsid w:val="0037056D"/>
    <w:rsid w:val="00376A96"/>
    <w:rsid w:val="00383A7C"/>
    <w:rsid w:val="00386123"/>
    <w:rsid w:val="003B0412"/>
    <w:rsid w:val="004451C7"/>
    <w:rsid w:val="00445E58"/>
    <w:rsid w:val="00452E1C"/>
    <w:rsid w:val="00464386"/>
    <w:rsid w:val="004644BA"/>
    <w:rsid w:val="00472EFE"/>
    <w:rsid w:val="00476BF8"/>
    <w:rsid w:val="004E25B8"/>
    <w:rsid w:val="00566F99"/>
    <w:rsid w:val="00581921"/>
    <w:rsid w:val="005861E1"/>
    <w:rsid w:val="00624041"/>
    <w:rsid w:val="00631BD1"/>
    <w:rsid w:val="00640FB2"/>
    <w:rsid w:val="006831E2"/>
    <w:rsid w:val="006A613B"/>
    <w:rsid w:val="006E1AC8"/>
    <w:rsid w:val="006F30B3"/>
    <w:rsid w:val="00704941"/>
    <w:rsid w:val="00762F1D"/>
    <w:rsid w:val="00770939"/>
    <w:rsid w:val="00770D44"/>
    <w:rsid w:val="007D7B88"/>
    <w:rsid w:val="007E4222"/>
    <w:rsid w:val="00820148"/>
    <w:rsid w:val="00872E98"/>
    <w:rsid w:val="008A7519"/>
    <w:rsid w:val="009C5F61"/>
    <w:rsid w:val="009D680B"/>
    <w:rsid w:val="009F1377"/>
    <w:rsid w:val="009F70A0"/>
    <w:rsid w:val="00A02607"/>
    <w:rsid w:val="00A26B5F"/>
    <w:rsid w:val="00A368A6"/>
    <w:rsid w:val="00A52EF5"/>
    <w:rsid w:val="00A90565"/>
    <w:rsid w:val="00A976E3"/>
    <w:rsid w:val="00B5768B"/>
    <w:rsid w:val="00B6590A"/>
    <w:rsid w:val="00B86749"/>
    <w:rsid w:val="00B9785D"/>
    <w:rsid w:val="00BF681B"/>
    <w:rsid w:val="00C471AE"/>
    <w:rsid w:val="00C82A4E"/>
    <w:rsid w:val="00C858DF"/>
    <w:rsid w:val="00CB3E2C"/>
    <w:rsid w:val="00D24A03"/>
    <w:rsid w:val="00D9327F"/>
    <w:rsid w:val="00DA1972"/>
    <w:rsid w:val="00DA66B7"/>
    <w:rsid w:val="00E058E9"/>
    <w:rsid w:val="00E34649"/>
    <w:rsid w:val="00E43C5A"/>
    <w:rsid w:val="00E63857"/>
    <w:rsid w:val="00E754A3"/>
    <w:rsid w:val="00E766E1"/>
    <w:rsid w:val="00EA25B2"/>
    <w:rsid w:val="00ED077F"/>
    <w:rsid w:val="00F14835"/>
    <w:rsid w:val="00F26331"/>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styleId="UnresolvedMention">
    <w:name w:val="Unresolved Mention"/>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776949159">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381130020">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41333962">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63a40bc65db23201153c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vu.edu/getDisplayFile/5750ed2697e4c89872d956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u.edu/catalog/current/policies-requirements/student-rights-and-responsibiliti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a.uvu.edu/owa/redir.aspx?C=r3xUa4y2bkalWljgIj1VXM3KzYlusNIIESMqIpkF5USfG-H3cUMstYl8DNScKc_quB49PvOQ-l0.&amp;URL=mailto%3anicole.hemmingsen%40uvu.edu" TargetMode="External"/><Relationship Id="rId4" Type="http://schemas.openxmlformats.org/officeDocument/2006/relationships/settings" Target="settings.xml"/><Relationship Id="rId9" Type="http://schemas.openxmlformats.org/officeDocument/2006/relationships/hyperlink" Target="http://www.uvu.edu/studentconduct/studen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Template>
  <TotalTime>1</TotalTime>
  <Pages>5</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Diane Skousen</cp:lastModifiedBy>
  <cp:revision>5</cp:revision>
  <dcterms:created xsi:type="dcterms:W3CDTF">2018-06-06T19:28:00Z</dcterms:created>
  <dcterms:modified xsi:type="dcterms:W3CDTF">2018-06-14T17:21:00Z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