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D1976" w14:textId="77777777" w:rsidR="00820148" w:rsidRDefault="00820148" w:rsidP="00820148">
      <w:pPr>
        <w:pStyle w:val="Title"/>
        <w:jc w:val="right"/>
        <w:rPr>
          <w:sz w:val="36"/>
          <w:szCs w:val="36"/>
        </w:rPr>
      </w:pPr>
      <w:r>
        <w:rPr>
          <w:noProof/>
        </w:rPr>
        <w:drawing>
          <wp:inline distT="0" distB="0" distL="0" distR="0" wp14:anchorId="0BD2C56D" wp14:editId="2FEC94D5">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77469D41" w14:textId="77777777" w:rsidR="00820148" w:rsidRPr="008E7F19" w:rsidRDefault="00770939">
      <w:pPr>
        <w:pStyle w:val="Title"/>
        <w:rPr>
          <w:rFonts w:ascii="Arial" w:hAnsi="Arial" w:cs="Arial"/>
          <w:sz w:val="36"/>
          <w:szCs w:val="36"/>
        </w:rPr>
      </w:pPr>
      <w:r w:rsidRPr="008E7F19">
        <w:rPr>
          <w:rFonts w:ascii="Arial" w:hAnsi="Arial" w:cs="Arial"/>
          <w:sz w:val="36"/>
          <w:szCs w:val="36"/>
        </w:rPr>
        <w:t>COURSE #</w:t>
      </w:r>
      <w:r w:rsidR="00445E58" w:rsidRPr="008E7F19">
        <w:rPr>
          <w:rFonts w:ascii="Arial" w:hAnsi="Arial" w:cs="Arial"/>
          <w:sz w:val="36"/>
          <w:szCs w:val="36"/>
        </w:rPr>
        <w:tab/>
      </w:r>
      <w:r w:rsidR="00F402B7" w:rsidRPr="008E7F19">
        <w:rPr>
          <w:rFonts w:ascii="Arial" w:hAnsi="Arial" w:cs="Arial"/>
          <w:sz w:val="36"/>
          <w:szCs w:val="36"/>
        </w:rPr>
        <w:t>HM 1010</w:t>
      </w:r>
      <w:r w:rsidR="00D9327F" w:rsidRPr="008E7F19">
        <w:rPr>
          <w:rFonts w:ascii="Arial" w:hAnsi="Arial" w:cs="Arial"/>
          <w:sz w:val="36"/>
          <w:szCs w:val="36"/>
        </w:rPr>
        <w:tab/>
      </w:r>
      <w:r w:rsidR="00D9327F" w:rsidRPr="008E7F19">
        <w:rPr>
          <w:rFonts w:ascii="Arial" w:hAnsi="Arial" w:cs="Arial"/>
          <w:sz w:val="36"/>
          <w:szCs w:val="36"/>
        </w:rPr>
        <w:tab/>
      </w:r>
      <w:r w:rsidR="00D9327F" w:rsidRPr="008E7F19">
        <w:rPr>
          <w:rFonts w:ascii="Arial" w:hAnsi="Arial" w:cs="Arial"/>
          <w:sz w:val="36"/>
          <w:szCs w:val="36"/>
        </w:rPr>
        <w:tab/>
      </w:r>
      <w:r w:rsidR="00D9327F" w:rsidRPr="008E7F19">
        <w:rPr>
          <w:rFonts w:ascii="Arial" w:hAnsi="Arial" w:cs="Arial"/>
          <w:sz w:val="36"/>
          <w:szCs w:val="36"/>
        </w:rPr>
        <w:tab/>
      </w:r>
      <w:r w:rsidR="00D9327F" w:rsidRPr="008E7F19">
        <w:rPr>
          <w:rFonts w:ascii="Arial" w:hAnsi="Arial" w:cs="Arial"/>
          <w:sz w:val="36"/>
          <w:szCs w:val="36"/>
        </w:rPr>
        <w:tab/>
      </w:r>
      <w:r w:rsidR="00D9327F" w:rsidRPr="008E7F19">
        <w:rPr>
          <w:rFonts w:ascii="Arial" w:hAnsi="Arial" w:cs="Arial"/>
          <w:sz w:val="36"/>
          <w:szCs w:val="36"/>
        </w:rPr>
        <w:tab/>
      </w:r>
    </w:p>
    <w:p w14:paraId="6B0BBB33" w14:textId="217A06C0" w:rsidR="005861E1" w:rsidRPr="008E7F19" w:rsidRDefault="00F402B7">
      <w:pPr>
        <w:pStyle w:val="Title"/>
        <w:rPr>
          <w:rFonts w:ascii="Arial" w:hAnsi="Arial" w:cs="Arial"/>
          <w:sz w:val="36"/>
          <w:szCs w:val="36"/>
        </w:rPr>
      </w:pPr>
      <w:r w:rsidRPr="008E7F19">
        <w:rPr>
          <w:rFonts w:ascii="Arial" w:hAnsi="Arial" w:cs="Arial"/>
          <w:b w:val="0"/>
          <w:color w:val="auto"/>
          <w:sz w:val="36"/>
          <w:szCs w:val="36"/>
        </w:rPr>
        <w:t>Introduction to Hospitality and Tourism Industry</w:t>
      </w:r>
      <w:r w:rsidR="00445E58" w:rsidRPr="008E7F19">
        <w:rPr>
          <w:rFonts w:ascii="Arial" w:hAnsi="Arial" w:cs="Arial"/>
          <w:b w:val="0"/>
          <w:sz w:val="36"/>
          <w:szCs w:val="36"/>
        </w:rPr>
        <w:tab/>
      </w:r>
      <w:r w:rsidR="00445E58" w:rsidRPr="008E7F19">
        <w:rPr>
          <w:rFonts w:ascii="Arial" w:hAnsi="Arial" w:cs="Arial"/>
          <w:b w:val="0"/>
          <w:sz w:val="36"/>
          <w:szCs w:val="36"/>
        </w:rPr>
        <w:tab/>
      </w:r>
    </w:p>
    <w:p w14:paraId="3C1985A5" w14:textId="071942D7" w:rsidR="00770939" w:rsidRPr="008E7F19" w:rsidRDefault="00F402B7" w:rsidP="00770939">
      <w:pPr>
        <w:pStyle w:val="Subtitle"/>
        <w:rPr>
          <w:rFonts w:ascii="Arial" w:hAnsi="Arial" w:cs="Arial"/>
          <w:b w:val="0"/>
          <w:i/>
          <w:szCs w:val="24"/>
        </w:rPr>
      </w:pPr>
      <w:r w:rsidRPr="008E7F19">
        <w:rPr>
          <w:rFonts w:ascii="Arial" w:hAnsi="Arial" w:cs="Arial"/>
          <w:b w:val="0"/>
          <w:i/>
          <w:szCs w:val="24"/>
        </w:rPr>
        <w:t>2018 - 2019</w:t>
      </w:r>
    </w:p>
    <w:p w14:paraId="5B0BD408" w14:textId="77777777" w:rsidR="008E7F19" w:rsidRPr="00EA25B2" w:rsidRDefault="008E7F19" w:rsidP="008E7F1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6FD214A4" w14:textId="77777777" w:rsidR="008E7F19" w:rsidRDefault="008E7F19" w:rsidP="008E7F1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696EBA55" w14:textId="77777777" w:rsidR="008E7F19" w:rsidRDefault="008E7F19" w:rsidP="008E7F1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57EF384D" w14:textId="77777777" w:rsidR="008E7F19" w:rsidRDefault="008E7F19" w:rsidP="008E7F1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0773BA07" w14:textId="0429669B" w:rsidR="00770939" w:rsidRDefault="008E7F19" w:rsidP="008E7F1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Office Hours</w:t>
      </w:r>
    </w:p>
    <w:p w14:paraId="1FD223E4" w14:textId="77777777" w:rsidR="008E7F19" w:rsidRPr="009E4FC7" w:rsidRDefault="008E7F19" w:rsidP="008E7F19">
      <w:pPr>
        <w:rPr>
          <w:rFonts w:ascii="Arial" w:eastAsiaTheme="majorEastAsia" w:hAnsi="Arial" w:cs="Arial"/>
          <w:b/>
          <w:bCs/>
          <w:color w:val="404040" w:themeColor="text1" w:themeTint="BF"/>
          <w:sz w:val="22"/>
          <w:szCs w:val="22"/>
        </w:rPr>
      </w:pPr>
    </w:p>
    <w:p w14:paraId="7DB44E32" w14:textId="77777777" w:rsidR="00770939" w:rsidRPr="008E7F19" w:rsidRDefault="00770939" w:rsidP="00770939">
      <w:pPr>
        <w:rPr>
          <w:rFonts w:ascii="Arial" w:eastAsiaTheme="majorEastAsia" w:hAnsi="Arial" w:cs="Arial"/>
          <w:b/>
          <w:bCs/>
          <w:color w:val="404040" w:themeColor="text1" w:themeTint="BF"/>
          <w:sz w:val="28"/>
          <w:szCs w:val="28"/>
        </w:rPr>
      </w:pPr>
      <w:r w:rsidRPr="008E7F19">
        <w:rPr>
          <w:rFonts w:ascii="Arial" w:eastAsiaTheme="majorEastAsia" w:hAnsi="Arial" w:cs="Arial"/>
          <w:b/>
          <w:bCs/>
          <w:color w:val="404040" w:themeColor="text1" w:themeTint="BF"/>
          <w:sz w:val="28"/>
          <w:szCs w:val="28"/>
        </w:rPr>
        <w:t>Course</w:t>
      </w:r>
    </w:p>
    <w:p w14:paraId="0928C216" w14:textId="77777777" w:rsidR="005861E1" w:rsidRPr="009E4FC7" w:rsidRDefault="00A52EF5">
      <w:pPr>
        <w:pStyle w:val="Heading2"/>
        <w:rPr>
          <w:rFonts w:ascii="Arial" w:hAnsi="Arial" w:cs="Arial"/>
          <w:sz w:val="22"/>
          <w:szCs w:val="22"/>
        </w:rPr>
      </w:pPr>
      <w:r w:rsidRPr="009E4FC7">
        <w:rPr>
          <w:rFonts w:ascii="Arial" w:hAnsi="Arial" w:cs="Arial"/>
          <w:sz w:val="22"/>
          <w:szCs w:val="22"/>
        </w:rPr>
        <w:t>Course D</w:t>
      </w:r>
      <w:r w:rsidR="00DA66B7" w:rsidRPr="009E4FC7">
        <w:rPr>
          <w:rFonts w:ascii="Arial" w:hAnsi="Arial" w:cs="Arial"/>
          <w:sz w:val="22"/>
          <w:szCs w:val="22"/>
        </w:rPr>
        <w:t>escription</w:t>
      </w:r>
    </w:p>
    <w:p w14:paraId="7BAA8B73" w14:textId="77777777" w:rsidR="006831E2" w:rsidRPr="009E4FC7" w:rsidRDefault="006831E2" w:rsidP="006831E2">
      <w:pPr>
        <w:pStyle w:val="Default"/>
        <w:rPr>
          <w:rFonts w:ascii="Arial" w:eastAsiaTheme="minorHAnsi" w:hAnsi="Arial" w:cs="Arial"/>
          <w:b/>
          <w:i/>
          <w:color w:val="auto"/>
          <w:sz w:val="22"/>
          <w:szCs w:val="22"/>
          <w:lang w:eastAsia="ja-JP"/>
        </w:rPr>
      </w:pPr>
      <w:r w:rsidRPr="009E4FC7">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58B4A33A" w14:textId="4565F7A1" w:rsidR="006831E2" w:rsidRPr="009E4FC7" w:rsidRDefault="006831E2" w:rsidP="006831E2">
      <w:pPr>
        <w:rPr>
          <w:rFonts w:ascii="Arial" w:hAnsi="Arial" w:cs="Arial"/>
          <w:color w:val="auto"/>
          <w:sz w:val="22"/>
          <w:szCs w:val="22"/>
        </w:rPr>
      </w:pPr>
    </w:p>
    <w:p w14:paraId="73D9B6AC" w14:textId="45BC9988" w:rsidR="004F7832" w:rsidRPr="008E7F19" w:rsidRDefault="004F7832" w:rsidP="006831E2">
      <w:pPr>
        <w:rPr>
          <w:rFonts w:ascii="Arial" w:eastAsia="Times New Roman" w:hAnsi="Arial" w:cs="Arial"/>
          <w:color w:val="auto"/>
          <w:sz w:val="22"/>
          <w:szCs w:val="22"/>
        </w:rPr>
      </w:pPr>
      <w:r w:rsidRPr="009E4FC7">
        <w:rPr>
          <w:rFonts w:ascii="Arial" w:eastAsia="Times New Roman" w:hAnsi="Arial" w:cs="Arial"/>
          <w:color w:val="auto"/>
          <w:sz w:val="22"/>
          <w:szCs w:val="22"/>
        </w:rPr>
        <w:t>In this course, you will learn the basic concepts and skills needed for a career in the hospitality and tourism industry. You will learn about different sectors in the industry such as transportation, accommodations, food &amp; beverage, recreation, entertainment, and travel services. You will also learn marketing skills, customer service skills and trends happening within the industry. By the end of this course, you will have created a personal development plan for your future in the industry. This will include the current skills you could bring to a hospitality/tourism position, as well as the knowledge, skills, and attitudes you still need to develop to contribute to an organization in which you have interest.</w:t>
      </w:r>
    </w:p>
    <w:p w14:paraId="24E6CA01" w14:textId="77777777" w:rsidR="00566F99" w:rsidRPr="009E4FC7" w:rsidRDefault="00770939" w:rsidP="004644BA">
      <w:pPr>
        <w:rPr>
          <w:rFonts w:ascii="Arial" w:eastAsiaTheme="majorEastAsia" w:hAnsi="Arial" w:cs="Arial"/>
          <w:b/>
          <w:bCs/>
          <w:color w:val="549E39" w:themeColor="accent1"/>
          <w:sz w:val="22"/>
          <w:szCs w:val="22"/>
        </w:rPr>
      </w:pPr>
      <w:r w:rsidRPr="009E4FC7">
        <w:rPr>
          <w:rFonts w:ascii="Arial" w:eastAsiaTheme="majorEastAsia" w:hAnsi="Arial" w:cs="Arial"/>
          <w:b/>
          <w:bCs/>
          <w:color w:val="549E39" w:themeColor="accent1"/>
          <w:sz w:val="22"/>
          <w:szCs w:val="22"/>
        </w:rPr>
        <w:t>Catalog Description</w:t>
      </w:r>
    </w:p>
    <w:p w14:paraId="0CC0D73F" w14:textId="1BD0826D" w:rsidR="004F7832" w:rsidRPr="009E4FC7" w:rsidRDefault="004F7832" w:rsidP="004644BA">
      <w:pPr>
        <w:rPr>
          <w:rFonts w:ascii="Arial" w:eastAsiaTheme="majorEastAsia" w:hAnsi="Arial" w:cs="Arial"/>
          <w:b/>
          <w:bCs/>
          <w:color w:val="auto"/>
          <w:sz w:val="22"/>
          <w:szCs w:val="22"/>
        </w:rPr>
      </w:pPr>
      <w:r w:rsidRPr="009E4FC7">
        <w:rPr>
          <w:rFonts w:ascii="Arial" w:hAnsi="Arial" w:cs="Arial"/>
          <w:color w:val="auto"/>
          <w:sz w:val="22"/>
          <w:szCs w:val="22"/>
          <w:shd w:val="clear" w:color="auto" w:fill="FFFFFF"/>
        </w:rPr>
        <w:t xml:space="preserve">Designed for hospitality management majors and as elective credit for other business majors. Provides a basic understanding of the lodging and food service industry by tracing the industry's growth and development. Analyzes management's functions and responsibilities in such areas as administration, organization, communications, accounting, marketing, and human relations. Examines industry opportunities and future trends. Includes lecture, field trips, guest speakers, film, and tapes. Completers should have a knowledge of career opportunities and basic hospitality management principles. </w:t>
      </w:r>
    </w:p>
    <w:p w14:paraId="44E04B59" w14:textId="2B162CC9" w:rsidR="004644BA" w:rsidRPr="009E4FC7" w:rsidRDefault="006831E2" w:rsidP="004644BA">
      <w:pPr>
        <w:rPr>
          <w:rFonts w:ascii="Arial" w:eastAsiaTheme="majorEastAsia" w:hAnsi="Arial" w:cs="Arial"/>
          <w:b/>
          <w:bCs/>
          <w:color w:val="549E39" w:themeColor="accent1"/>
          <w:sz w:val="22"/>
          <w:szCs w:val="22"/>
        </w:rPr>
      </w:pPr>
      <w:r w:rsidRPr="009E4FC7">
        <w:rPr>
          <w:rFonts w:ascii="Arial" w:eastAsiaTheme="majorEastAsia" w:hAnsi="Arial" w:cs="Arial"/>
          <w:b/>
          <w:bCs/>
          <w:color w:val="549E39" w:themeColor="accent1"/>
          <w:sz w:val="22"/>
          <w:szCs w:val="22"/>
        </w:rPr>
        <w:t>Course Prerequisites</w:t>
      </w:r>
    </w:p>
    <w:p w14:paraId="1C322FCD" w14:textId="77777777" w:rsidR="00825AF7" w:rsidRDefault="00825AF7" w:rsidP="00825AF7">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p>
    <w:p w14:paraId="7969E30C" w14:textId="29A09E8E" w:rsidR="002470E9" w:rsidRPr="009E4FC7" w:rsidRDefault="00A52EF5" w:rsidP="00F26331">
      <w:pPr>
        <w:pStyle w:val="Heading2"/>
        <w:rPr>
          <w:rFonts w:ascii="Arial" w:hAnsi="Arial" w:cs="Arial"/>
          <w:sz w:val="22"/>
          <w:szCs w:val="22"/>
        </w:rPr>
      </w:pPr>
      <w:bookmarkStart w:id="0" w:name="_GoBack"/>
      <w:bookmarkEnd w:id="0"/>
      <w:r w:rsidRPr="009E4FC7">
        <w:rPr>
          <w:rFonts w:ascii="Arial" w:hAnsi="Arial" w:cs="Arial"/>
          <w:sz w:val="22"/>
          <w:szCs w:val="22"/>
        </w:rPr>
        <w:lastRenderedPageBreak/>
        <w:t>Course Objectives</w:t>
      </w:r>
      <w:r w:rsidR="00770939" w:rsidRPr="009E4FC7">
        <w:rPr>
          <w:rFonts w:ascii="Arial" w:hAnsi="Arial" w:cs="Arial"/>
          <w:sz w:val="22"/>
          <w:szCs w:val="22"/>
        </w:rPr>
        <w:t xml:space="preserve"> or Learning Outcomes</w:t>
      </w:r>
    </w:p>
    <w:p w14:paraId="78733F4A"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The purpose of this course is to provide the student with an introduction to the world of business and particularly to business as it applies to the hospitality industry. More specifically, the course will provide an opportunity for you</w:t>
      </w:r>
    </w:p>
    <w:p w14:paraId="784FE70D"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to become acquainted with the social, economic and environmental context within </w:t>
      </w:r>
    </w:p>
    <w:p w14:paraId="2C5FD097"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which the hospitality industry operates</w:t>
      </w:r>
    </w:p>
    <w:p w14:paraId="72D1F5DD"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to understand the structure, nature and operating characteristics of the different </w:t>
      </w:r>
    </w:p>
    <w:p w14:paraId="7BD20449"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 xml:space="preserve">sectors of the hospitality industry: transportation, accommodations, commercial and </w:t>
      </w:r>
    </w:p>
    <w:p w14:paraId="42FB5F07"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non-commercial food services, recreation, entertainment, and travel services</w:t>
      </w:r>
    </w:p>
    <w:p w14:paraId="407968C8"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to obtain an appreciation of the various functions of management and </w:t>
      </w:r>
      <w:proofErr w:type="gramStart"/>
      <w:r w:rsidRPr="009E4FC7">
        <w:rPr>
          <w:rFonts w:ascii="Arial" w:eastAsia="Times New Roman" w:hAnsi="Arial" w:cs="Arial"/>
          <w:color w:val="auto"/>
          <w:sz w:val="22"/>
          <w:szCs w:val="22"/>
        </w:rPr>
        <w:t>their</w:t>
      </w:r>
      <w:proofErr w:type="gramEnd"/>
      <w:r w:rsidRPr="009E4FC7">
        <w:rPr>
          <w:rFonts w:ascii="Arial" w:eastAsia="Times New Roman" w:hAnsi="Arial" w:cs="Arial"/>
          <w:color w:val="auto"/>
          <w:sz w:val="22"/>
          <w:szCs w:val="22"/>
        </w:rPr>
        <w:t xml:space="preserve"> </w:t>
      </w:r>
    </w:p>
    <w:p w14:paraId="0CB5A750"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interrelationships with other key concerns of managers such as marketing, finance and human resource management</w:t>
      </w:r>
    </w:p>
    <w:p w14:paraId="2FE055B2"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to be able to identify the role of managers in the hospitality industry and to highlight their principal responsibilities</w:t>
      </w:r>
    </w:p>
    <w:p w14:paraId="4C4458E4"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to provide an opportunity for further developing those skills which are important to </w:t>
      </w:r>
    </w:p>
    <w:p w14:paraId="75130AC0"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learning, e.g. library skills, study skills, people skills</w:t>
      </w:r>
    </w:p>
    <w:p w14:paraId="7690657A"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to be able to judge whether the hospitality profession suits your abilities, personality, and career interests</w:t>
      </w:r>
    </w:p>
    <w:p w14:paraId="3FE80729" w14:textId="77777777" w:rsidR="004F7832" w:rsidRPr="009E4FC7" w:rsidRDefault="004F7832" w:rsidP="004F7832">
      <w:pPr>
        <w:spacing w:after="0"/>
        <w:rPr>
          <w:rFonts w:ascii="Arial" w:eastAsia="Times New Roman" w:hAnsi="Arial" w:cs="Arial"/>
          <w:color w:val="auto"/>
          <w:sz w:val="22"/>
          <w:szCs w:val="22"/>
        </w:rPr>
      </w:pPr>
    </w:p>
    <w:p w14:paraId="11EF6EDA" w14:textId="4367792D" w:rsidR="004F7832" w:rsidRPr="009E4FC7" w:rsidRDefault="004F7832" w:rsidP="004F7832">
      <w:pPr>
        <w:spacing w:after="0"/>
        <w:rPr>
          <w:rFonts w:ascii="Arial" w:eastAsia="Times New Roman" w:hAnsi="Arial" w:cs="Arial"/>
          <w:b/>
          <w:color w:val="auto"/>
          <w:sz w:val="22"/>
          <w:szCs w:val="22"/>
        </w:rPr>
      </w:pPr>
      <w:r w:rsidRPr="009E4FC7">
        <w:rPr>
          <w:rFonts w:ascii="Arial" w:eastAsia="Times New Roman" w:hAnsi="Arial" w:cs="Arial"/>
          <w:b/>
          <w:color w:val="auto"/>
          <w:sz w:val="22"/>
          <w:szCs w:val="22"/>
        </w:rPr>
        <w:t>HM 1010 Course-Specific Outcomes</w:t>
      </w:r>
    </w:p>
    <w:p w14:paraId="5E2E61F6"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Identify the defining characteristics and trends occurring in various sectors within the industry (e.g., accommodations; food and beverage; transportation; recreation; </w:t>
      </w:r>
    </w:p>
    <w:p w14:paraId="3470F63B"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travel/tourism; entertainment).</w:t>
      </w:r>
    </w:p>
    <w:p w14:paraId="37E6DE1C" w14:textId="15F4AFA4"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Use basic terminology from the industry in situationally appropriate ways.</w:t>
      </w:r>
    </w:p>
    <w:p w14:paraId="2EE3B7EE"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Compare the functions and roles of different career positions within hospitality/tourism, </w:t>
      </w:r>
    </w:p>
    <w:p w14:paraId="27FF3598" w14:textId="6702EB23"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both in existing organizations and in entrepreneurial settings.</w:t>
      </w:r>
    </w:p>
    <w:p w14:paraId="04B7CDAE"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Identify the personal interests and prior preparation you bring to a career in </w:t>
      </w:r>
    </w:p>
    <w:p w14:paraId="157A9B65" w14:textId="76037F45"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hospitality/tourism.</w:t>
      </w:r>
    </w:p>
    <w:p w14:paraId="1CE31194" w14:textId="7F3666EF"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Identify knowledge, skills, and attitudes needed to develop a successful career in the industry.</w:t>
      </w:r>
    </w:p>
    <w:p w14:paraId="4E262A57"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Create an educational and personal development plan to prepare for career </w:t>
      </w:r>
    </w:p>
    <w:p w14:paraId="293321B3" w14:textId="77777777" w:rsidR="004F7832" w:rsidRPr="009E4FC7" w:rsidRDefault="004F7832" w:rsidP="004F7832">
      <w:pPr>
        <w:spacing w:after="0"/>
        <w:rPr>
          <w:rFonts w:ascii="Arial" w:eastAsia="Times New Roman" w:hAnsi="Arial" w:cs="Arial"/>
          <w:color w:val="auto"/>
          <w:sz w:val="22"/>
          <w:szCs w:val="22"/>
        </w:rPr>
      </w:pPr>
      <w:r w:rsidRPr="009E4FC7">
        <w:rPr>
          <w:rFonts w:ascii="Arial" w:eastAsia="Times New Roman" w:hAnsi="Arial" w:cs="Arial"/>
          <w:color w:val="auto"/>
          <w:sz w:val="22"/>
          <w:szCs w:val="22"/>
        </w:rPr>
        <w:t>opportunities of interest.</w:t>
      </w:r>
    </w:p>
    <w:p w14:paraId="6E3838C5" w14:textId="77777777" w:rsidR="00F26331" w:rsidRPr="009E4FC7" w:rsidRDefault="00F26331" w:rsidP="00F26331">
      <w:pPr>
        <w:rPr>
          <w:rFonts w:ascii="Arial" w:hAnsi="Arial" w:cs="Arial"/>
          <w:sz w:val="22"/>
          <w:szCs w:val="22"/>
        </w:rPr>
      </w:pPr>
    </w:p>
    <w:p w14:paraId="0002FC66" w14:textId="1137F19A" w:rsidR="004F7832" w:rsidRPr="009E4FC7" w:rsidRDefault="006831E2" w:rsidP="004F7832">
      <w:pPr>
        <w:rPr>
          <w:rFonts w:ascii="Arial" w:eastAsiaTheme="majorEastAsia" w:hAnsi="Arial" w:cs="Arial"/>
          <w:b/>
          <w:bCs/>
          <w:color w:val="549E39" w:themeColor="accent1"/>
          <w:sz w:val="22"/>
          <w:szCs w:val="22"/>
        </w:rPr>
      </w:pPr>
      <w:r w:rsidRPr="009E4FC7">
        <w:rPr>
          <w:rFonts w:ascii="Arial" w:eastAsiaTheme="majorEastAsia" w:hAnsi="Arial" w:cs="Arial"/>
          <w:b/>
          <w:bCs/>
          <w:color w:val="549E39" w:themeColor="accent1"/>
          <w:sz w:val="22"/>
          <w:szCs w:val="22"/>
        </w:rPr>
        <w:t>Required Text and Materials</w:t>
      </w:r>
    </w:p>
    <w:p w14:paraId="330E035F" w14:textId="6F5ACF58" w:rsidR="0058324B" w:rsidRPr="008E7F19" w:rsidRDefault="004F7832" w:rsidP="00A52EF5">
      <w:pPr>
        <w:rPr>
          <w:rFonts w:ascii="Arial" w:eastAsiaTheme="majorEastAsia" w:hAnsi="Arial" w:cs="Arial"/>
          <w:bCs/>
          <w:color w:val="auto"/>
          <w:sz w:val="22"/>
          <w:szCs w:val="22"/>
        </w:rPr>
      </w:pPr>
      <w:r w:rsidRPr="009E4FC7">
        <w:rPr>
          <w:rFonts w:ascii="Arial" w:eastAsia="Times New Roman" w:hAnsi="Arial" w:cs="Arial"/>
          <w:color w:val="auto"/>
          <w:sz w:val="22"/>
          <w:szCs w:val="22"/>
        </w:rPr>
        <w:t>TEXTBOOK:  NONE.  All course learning tools and materials are provided in the Canvas course site</w:t>
      </w:r>
    </w:p>
    <w:p w14:paraId="2594BA0C" w14:textId="77777777" w:rsidR="0058324B" w:rsidRDefault="0058324B" w:rsidP="00A52EF5">
      <w:pPr>
        <w:rPr>
          <w:rFonts w:ascii="Arial" w:eastAsiaTheme="majorEastAsia" w:hAnsi="Arial" w:cs="Arial"/>
          <w:b/>
          <w:bCs/>
          <w:color w:val="404040" w:themeColor="text1" w:themeTint="BF"/>
          <w:sz w:val="22"/>
          <w:szCs w:val="22"/>
        </w:rPr>
      </w:pPr>
    </w:p>
    <w:p w14:paraId="751B3A0C" w14:textId="3BA43512" w:rsidR="003B0412" w:rsidRPr="0058324B" w:rsidRDefault="000A307C" w:rsidP="00A52EF5">
      <w:pPr>
        <w:rPr>
          <w:rFonts w:ascii="Arial" w:eastAsiaTheme="majorEastAsia" w:hAnsi="Arial" w:cs="Arial"/>
          <w:b/>
          <w:bCs/>
          <w:color w:val="404040" w:themeColor="text1" w:themeTint="BF"/>
          <w:sz w:val="28"/>
          <w:szCs w:val="28"/>
        </w:rPr>
      </w:pPr>
      <w:r w:rsidRPr="0058324B">
        <w:rPr>
          <w:rFonts w:ascii="Arial" w:eastAsiaTheme="majorEastAsia" w:hAnsi="Arial" w:cs="Arial"/>
          <w:b/>
          <w:bCs/>
          <w:color w:val="404040" w:themeColor="text1" w:themeTint="BF"/>
          <w:sz w:val="28"/>
          <w:szCs w:val="28"/>
        </w:rPr>
        <w:t xml:space="preserve">Department </w:t>
      </w:r>
      <w:r w:rsidR="00E63857" w:rsidRPr="0058324B">
        <w:rPr>
          <w:rFonts w:ascii="Arial" w:eastAsiaTheme="majorEastAsia" w:hAnsi="Arial" w:cs="Arial"/>
          <w:b/>
          <w:bCs/>
          <w:color w:val="404040" w:themeColor="text1" w:themeTint="BF"/>
          <w:sz w:val="28"/>
          <w:szCs w:val="28"/>
        </w:rPr>
        <w:t>Policies</w:t>
      </w:r>
    </w:p>
    <w:p w14:paraId="308EDC17" w14:textId="77777777" w:rsidR="00A52EF5" w:rsidRPr="009E4FC7" w:rsidRDefault="00E63857" w:rsidP="00A52EF5">
      <w:pPr>
        <w:rPr>
          <w:rFonts w:ascii="Arial" w:eastAsiaTheme="majorEastAsia" w:hAnsi="Arial" w:cs="Arial"/>
          <w:b/>
          <w:bCs/>
          <w:color w:val="549E39" w:themeColor="accent1"/>
          <w:sz w:val="22"/>
          <w:szCs w:val="22"/>
        </w:rPr>
      </w:pPr>
      <w:r w:rsidRPr="009E4FC7">
        <w:rPr>
          <w:rFonts w:ascii="Arial" w:eastAsiaTheme="majorEastAsia" w:hAnsi="Arial" w:cs="Arial"/>
          <w:b/>
          <w:bCs/>
          <w:color w:val="549E39" w:themeColor="accent1"/>
          <w:sz w:val="22"/>
          <w:szCs w:val="22"/>
        </w:rPr>
        <w:t>Assessment</w:t>
      </w:r>
    </w:p>
    <w:p w14:paraId="35346922" w14:textId="77777777" w:rsidR="00461E13" w:rsidRPr="009E4FC7" w:rsidRDefault="00461E13" w:rsidP="00461E13">
      <w:pPr>
        <w:rPr>
          <w:rFonts w:ascii="Arial" w:eastAsia="Times New Roman" w:hAnsi="Arial" w:cs="Arial"/>
          <w:b/>
          <w:color w:val="auto"/>
          <w:sz w:val="22"/>
          <w:szCs w:val="22"/>
        </w:rPr>
      </w:pPr>
      <w:r w:rsidRPr="009E4FC7">
        <w:rPr>
          <w:rFonts w:ascii="Arial" w:eastAsia="Times New Roman" w:hAnsi="Arial" w:cs="Arial"/>
          <w:b/>
          <w:color w:val="auto"/>
          <w:sz w:val="22"/>
          <w:szCs w:val="22"/>
        </w:rPr>
        <w:t xml:space="preserve">Instructional and Learning Methods: </w:t>
      </w:r>
    </w:p>
    <w:p w14:paraId="36B2165E"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Open source and current periodical will be the primary source of information for this course</w:t>
      </w:r>
    </w:p>
    <w:p w14:paraId="6910E5E5"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Supplemental reading and interactive assignments are used throughout course</w:t>
      </w:r>
    </w:p>
    <w:p w14:paraId="4850628D"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Canvas will be used extensively throughout this course</w:t>
      </w:r>
    </w:p>
    <w:p w14:paraId="4EE18553"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Check Canvas regularly for announcements regarding class management</w:t>
      </w:r>
    </w:p>
    <w:p w14:paraId="3CC4B3A5"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B7"/>
      </w:r>
      <w:r w:rsidRPr="009E4FC7">
        <w:rPr>
          <w:rFonts w:ascii="Arial" w:eastAsia="Times New Roman" w:hAnsi="Arial" w:cs="Arial"/>
          <w:color w:val="auto"/>
          <w:sz w:val="22"/>
          <w:szCs w:val="22"/>
        </w:rPr>
        <w:t xml:space="preserve">  Pay close attention to the Calendar and Grade Book.  Inform me quickly of any </w:t>
      </w:r>
    </w:p>
    <w:p w14:paraId="612C8965"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t>discrepancies or concerns.</w:t>
      </w:r>
    </w:p>
    <w:p w14:paraId="049FDA56" w14:textId="77777777" w:rsidR="00461E13" w:rsidRPr="009E4FC7" w:rsidRDefault="00461E13" w:rsidP="00461E13">
      <w:pPr>
        <w:rPr>
          <w:rFonts w:ascii="Arial" w:eastAsia="Times New Roman" w:hAnsi="Arial" w:cs="Arial"/>
          <w:color w:val="auto"/>
          <w:sz w:val="22"/>
          <w:szCs w:val="22"/>
        </w:rPr>
      </w:pPr>
    </w:p>
    <w:p w14:paraId="0387C546" w14:textId="77777777"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lastRenderedPageBreak/>
        <w:t>Prepare</w:t>
      </w:r>
    </w:p>
    <w:p w14:paraId="6341F65F" w14:textId="3AA5B1EC"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A7"/>
      </w:r>
      <w:r w:rsidRPr="009E4FC7">
        <w:rPr>
          <w:rFonts w:ascii="Arial" w:eastAsia="Times New Roman" w:hAnsi="Arial" w:cs="Arial"/>
          <w:color w:val="auto"/>
          <w:sz w:val="22"/>
          <w:szCs w:val="22"/>
        </w:rPr>
        <w:t xml:space="preserve"> To succeed in this course, you should complete preparation activities (Overview, Readings &amp; Quiz) by the designated deadline.</w:t>
      </w:r>
    </w:p>
    <w:p w14:paraId="260A81F2" w14:textId="01A77F55" w:rsidR="00461E13" w:rsidRPr="009E4FC7" w:rsidRDefault="00461E13" w:rsidP="00461E13">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A7"/>
      </w:r>
      <w:r w:rsidRPr="009E4FC7">
        <w:rPr>
          <w:rFonts w:ascii="Arial" w:eastAsia="Times New Roman" w:hAnsi="Arial" w:cs="Arial"/>
          <w:color w:val="auto"/>
          <w:sz w:val="22"/>
          <w:szCs w:val="22"/>
        </w:rPr>
        <w:t xml:space="preserve"> The weekly assignments are where you will demonstrate your mastery of the course outcomes. These assignments focus on various applications in Hospitality and Tourism. The number of assignments will vary by week with some placing a greater emphasis on these over other course activities. Because of this, due dates will also vary. </w:t>
      </w:r>
    </w:p>
    <w:p w14:paraId="16B3B54A" w14:textId="54B0A8AE" w:rsidR="002470E9" w:rsidRPr="009E4FC7" w:rsidRDefault="00461E13" w:rsidP="006831E2">
      <w:pPr>
        <w:rPr>
          <w:rFonts w:ascii="Arial" w:eastAsia="Times New Roman" w:hAnsi="Arial" w:cs="Arial"/>
          <w:color w:val="auto"/>
          <w:sz w:val="22"/>
          <w:szCs w:val="22"/>
        </w:rPr>
      </w:pPr>
      <w:r w:rsidRPr="009E4FC7">
        <w:rPr>
          <w:rFonts w:ascii="Arial" w:eastAsia="Times New Roman" w:hAnsi="Arial" w:cs="Arial"/>
          <w:color w:val="auto"/>
          <w:sz w:val="22"/>
          <w:szCs w:val="22"/>
        </w:rPr>
        <w:sym w:font="Symbol" w:char="F0A7"/>
      </w:r>
      <w:r w:rsidRPr="009E4FC7">
        <w:rPr>
          <w:rFonts w:ascii="Arial" w:eastAsia="Times New Roman" w:hAnsi="Arial" w:cs="Arial"/>
          <w:color w:val="auto"/>
          <w:sz w:val="22"/>
          <w:szCs w:val="22"/>
        </w:rPr>
        <w:t xml:space="preserve">  At certain points in the course there will also be major assignments due. </w:t>
      </w:r>
    </w:p>
    <w:p w14:paraId="073E91A8" w14:textId="0050C7C9" w:rsidR="006831E2" w:rsidRPr="009E4FC7" w:rsidRDefault="00566F99" w:rsidP="006831E2">
      <w:pPr>
        <w:rPr>
          <w:rFonts w:ascii="Arial" w:eastAsiaTheme="majorEastAsia" w:hAnsi="Arial" w:cs="Arial"/>
          <w:b/>
          <w:bCs/>
          <w:color w:val="549E39" w:themeColor="accent1"/>
          <w:sz w:val="22"/>
          <w:szCs w:val="22"/>
        </w:rPr>
      </w:pPr>
      <w:r w:rsidRPr="009E4FC7">
        <w:rPr>
          <w:rFonts w:ascii="Arial" w:eastAsiaTheme="majorEastAsia" w:hAnsi="Arial" w:cs="Arial"/>
          <w:b/>
          <w:bCs/>
          <w:color w:val="549E39" w:themeColor="accent1"/>
          <w:sz w:val="22"/>
          <w:szCs w:val="22"/>
        </w:rPr>
        <w:t>Grading Scale</w:t>
      </w:r>
    </w:p>
    <w:p w14:paraId="360D0811" w14:textId="184410ED" w:rsidR="00461E13" w:rsidRPr="009E4FC7" w:rsidRDefault="00461E13" w:rsidP="006831E2">
      <w:pPr>
        <w:rPr>
          <w:rFonts w:ascii="Arial" w:eastAsia="Times New Roman" w:hAnsi="Arial" w:cs="Arial"/>
          <w:color w:val="auto"/>
          <w:sz w:val="22"/>
          <w:szCs w:val="22"/>
        </w:rPr>
      </w:pPr>
      <w:r w:rsidRPr="009E4FC7">
        <w:rPr>
          <w:rFonts w:ascii="Arial" w:eastAsia="Times New Roman" w:hAnsi="Arial" w:cs="Arial"/>
          <w:color w:val="auto"/>
          <w:sz w:val="22"/>
          <w:szCs w:val="22"/>
        </w:rPr>
        <w:t>Your grade will be determined by dividing the number of points you earn by the total points possible.</w:t>
      </w:r>
    </w:p>
    <w:p w14:paraId="7C1D018A"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color w:val="auto"/>
          <w:sz w:val="22"/>
          <w:szCs w:val="22"/>
        </w:rPr>
        <w:t>Grades will be assigned based on the following scale:</w:t>
      </w:r>
    </w:p>
    <w:p w14:paraId="1CE830C3" w14:textId="77777777" w:rsidR="0058324B" w:rsidRDefault="0058324B" w:rsidP="004F7832">
      <w:pPr>
        <w:rPr>
          <w:rFonts w:ascii="Arial" w:eastAsia="Times New Roman" w:hAnsi="Arial" w:cs="Arial"/>
          <w:b/>
          <w:bCs/>
          <w:color w:val="auto"/>
          <w:sz w:val="22"/>
          <w:szCs w:val="22"/>
        </w:rPr>
        <w:sectPr w:rsidR="0058324B" w:rsidSect="003B0412">
          <w:footerReference w:type="default" r:id="rId9"/>
          <w:pgSz w:w="12240" w:h="15840" w:code="1"/>
          <w:pgMar w:top="720" w:right="1253" w:bottom="720" w:left="1253" w:header="720" w:footer="1296" w:gutter="0"/>
          <w:cols w:space="720"/>
          <w:docGrid w:linePitch="360"/>
        </w:sectPr>
      </w:pPr>
    </w:p>
    <w:p w14:paraId="7FD10FFA" w14:textId="5254DE7D"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A</w:t>
      </w:r>
      <w:r w:rsidRPr="009E4FC7">
        <w:rPr>
          <w:rFonts w:ascii="Arial" w:eastAsia="Times New Roman" w:hAnsi="Arial" w:cs="Arial"/>
          <w:color w:val="auto"/>
          <w:sz w:val="22"/>
          <w:szCs w:val="22"/>
        </w:rPr>
        <w:tab/>
        <w:t>93% and above</w:t>
      </w:r>
    </w:p>
    <w:p w14:paraId="125EEBF9"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A-</w:t>
      </w:r>
      <w:r w:rsidRPr="009E4FC7">
        <w:rPr>
          <w:rFonts w:ascii="Arial" w:eastAsia="Times New Roman" w:hAnsi="Arial" w:cs="Arial"/>
          <w:color w:val="auto"/>
          <w:sz w:val="22"/>
          <w:szCs w:val="22"/>
        </w:rPr>
        <w:tab/>
        <w:t>90%-92%</w:t>
      </w:r>
    </w:p>
    <w:p w14:paraId="5E8F7690"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B+</w:t>
      </w:r>
      <w:r w:rsidRPr="009E4FC7">
        <w:rPr>
          <w:rFonts w:ascii="Arial" w:eastAsia="Times New Roman" w:hAnsi="Arial" w:cs="Arial"/>
          <w:color w:val="auto"/>
          <w:sz w:val="22"/>
          <w:szCs w:val="22"/>
        </w:rPr>
        <w:tab/>
        <w:t>87%-89%</w:t>
      </w:r>
    </w:p>
    <w:p w14:paraId="40C45A9D"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B</w:t>
      </w:r>
      <w:r w:rsidRPr="009E4FC7">
        <w:rPr>
          <w:rFonts w:ascii="Arial" w:eastAsia="Times New Roman" w:hAnsi="Arial" w:cs="Arial"/>
          <w:color w:val="auto"/>
          <w:sz w:val="22"/>
          <w:szCs w:val="22"/>
        </w:rPr>
        <w:tab/>
        <w:t>83%-86%</w:t>
      </w:r>
    </w:p>
    <w:p w14:paraId="47D50CE1"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B-</w:t>
      </w:r>
      <w:r w:rsidRPr="009E4FC7">
        <w:rPr>
          <w:rFonts w:ascii="Arial" w:eastAsia="Times New Roman" w:hAnsi="Arial" w:cs="Arial"/>
          <w:color w:val="auto"/>
          <w:sz w:val="22"/>
          <w:szCs w:val="22"/>
        </w:rPr>
        <w:tab/>
        <w:t>80%-82%</w:t>
      </w:r>
    </w:p>
    <w:p w14:paraId="535BF764"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C+</w:t>
      </w:r>
      <w:r w:rsidRPr="009E4FC7">
        <w:rPr>
          <w:rFonts w:ascii="Arial" w:eastAsia="Times New Roman" w:hAnsi="Arial" w:cs="Arial"/>
          <w:color w:val="auto"/>
          <w:sz w:val="22"/>
          <w:szCs w:val="22"/>
        </w:rPr>
        <w:tab/>
        <w:t>77%-79%</w:t>
      </w:r>
    </w:p>
    <w:p w14:paraId="0A2EA780"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C</w:t>
      </w:r>
      <w:r w:rsidRPr="009E4FC7">
        <w:rPr>
          <w:rFonts w:ascii="Arial" w:eastAsia="Times New Roman" w:hAnsi="Arial" w:cs="Arial"/>
          <w:color w:val="auto"/>
          <w:sz w:val="22"/>
          <w:szCs w:val="22"/>
        </w:rPr>
        <w:tab/>
        <w:t>73%-76%</w:t>
      </w:r>
    </w:p>
    <w:p w14:paraId="3ADC89C1"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C-</w:t>
      </w:r>
      <w:r w:rsidRPr="009E4FC7">
        <w:rPr>
          <w:rFonts w:ascii="Arial" w:eastAsia="Times New Roman" w:hAnsi="Arial" w:cs="Arial"/>
          <w:color w:val="auto"/>
          <w:sz w:val="22"/>
          <w:szCs w:val="22"/>
        </w:rPr>
        <w:tab/>
        <w:t>70%-72%</w:t>
      </w:r>
    </w:p>
    <w:p w14:paraId="399D8A0E"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D</w:t>
      </w:r>
      <w:r w:rsidRPr="009E4FC7">
        <w:rPr>
          <w:rFonts w:ascii="Arial" w:eastAsia="Times New Roman" w:hAnsi="Arial" w:cs="Arial"/>
          <w:color w:val="auto"/>
          <w:sz w:val="22"/>
          <w:szCs w:val="22"/>
        </w:rPr>
        <w:tab/>
        <w:t>60%-69%</w:t>
      </w:r>
    </w:p>
    <w:p w14:paraId="6BC605DD" w14:textId="77777777" w:rsidR="004F7832" w:rsidRPr="009E4FC7" w:rsidRDefault="004F7832" w:rsidP="004F7832">
      <w:pPr>
        <w:rPr>
          <w:rFonts w:ascii="Arial" w:eastAsia="Times New Roman" w:hAnsi="Arial" w:cs="Arial"/>
          <w:color w:val="auto"/>
          <w:sz w:val="22"/>
          <w:szCs w:val="22"/>
        </w:rPr>
      </w:pPr>
      <w:r w:rsidRPr="009E4FC7">
        <w:rPr>
          <w:rFonts w:ascii="Arial" w:eastAsia="Times New Roman" w:hAnsi="Arial" w:cs="Arial"/>
          <w:b/>
          <w:bCs/>
          <w:color w:val="auto"/>
          <w:sz w:val="22"/>
          <w:szCs w:val="22"/>
        </w:rPr>
        <w:t>F</w:t>
      </w:r>
      <w:r w:rsidRPr="009E4FC7">
        <w:rPr>
          <w:rFonts w:ascii="Arial" w:eastAsia="Times New Roman" w:hAnsi="Arial" w:cs="Arial"/>
          <w:color w:val="auto"/>
          <w:sz w:val="22"/>
          <w:szCs w:val="22"/>
        </w:rPr>
        <w:tab/>
        <w:t>Below 59%</w:t>
      </w:r>
    </w:p>
    <w:p w14:paraId="2227696F" w14:textId="77777777" w:rsidR="0058324B" w:rsidRDefault="0058324B" w:rsidP="008A7519">
      <w:pPr>
        <w:tabs>
          <w:tab w:val="left" w:pos="720"/>
          <w:tab w:val="left" w:pos="1440"/>
          <w:tab w:val="left" w:pos="2160"/>
          <w:tab w:val="left" w:pos="2880"/>
          <w:tab w:val="left" w:pos="3600"/>
          <w:tab w:val="left" w:pos="4320"/>
          <w:tab w:val="left" w:pos="5040"/>
          <w:tab w:val="left" w:pos="5760"/>
        </w:tabs>
        <w:spacing w:after="0"/>
        <w:ind w:left="5760" w:hanging="5760"/>
        <w:rPr>
          <w:rFonts w:ascii="Arial" w:hAnsi="Arial" w:cs="Arial"/>
          <w:sz w:val="22"/>
          <w:szCs w:val="22"/>
        </w:rPr>
        <w:sectPr w:rsidR="0058324B" w:rsidSect="0058324B">
          <w:type w:val="continuous"/>
          <w:pgSz w:w="12240" w:h="15840" w:code="1"/>
          <w:pgMar w:top="720" w:right="1253" w:bottom="720" w:left="1253" w:header="720" w:footer="1296" w:gutter="0"/>
          <w:cols w:num="2" w:space="720"/>
          <w:docGrid w:linePitch="360"/>
        </w:sectPr>
      </w:pPr>
    </w:p>
    <w:p w14:paraId="06668F3C" w14:textId="12A36A08" w:rsidR="006831E2" w:rsidRPr="009E4FC7" w:rsidRDefault="006831E2" w:rsidP="008A7519">
      <w:pPr>
        <w:tabs>
          <w:tab w:val="left" w:pos="720"/>
          <w:tab w:val="left" w:pos="1440"/>
          <w:tab w:val="left" w:pos="2160"/>
          <w:tab w:val="left" w:pos="2880"/>
          <w:tab w:val="left" w:pos="3600"/>
          <w:tab w:val="left" w:pos="4320"/>
          <w:tab w:val="left" w:pos="5040"/>
          <w:tab w:val="left" w:pos="5760"/>
        </w:tabs>
        <w:spacing w:after="0"/>
        <w:ind w:left="5760" w:hanging="5760"/>
        <w:rPr>
          <w:rFonts w:ascii="Arial" w:hAnsi="Arial" w:cs="Arial"/>
          <w:sz w:val="22"/>
          <w:szCs w:val="22"/>
        </w:rPr>
      </w:pPr>
      <w:r w:rsidRPr="009E4FC7">
        <w:rPr>
          <w:rFonts w:ascii="Arial" w:hAnsi="Arial" w:cs="Arial"/>
          <w:sz w:val="22"/>
          <w:szCs w:val="22"/>
        </w:rPr>
        <w:tab/>
      </w:r>
      <w:r w:rsidRPr="009E4FC7">
        <w:rPr>
          <w:rFonts w:ascii="Arial" w:hAnsi="Arial" w:cs="Arial"/>
          <w:sz w:val="22"/>
          <w:szCs w:val="22"/>
        </w:rPr>
        <w:tab/>
        <w:t xml:space="preserve"> </w:t>
      </w:r>
    </w:p>
    <w:p w14:paraId="2791A2ED" w14:textId="77777777" w:rsidR="00194998" w:rsidRPr="009E4FC7" w:rsidRDefault="00194998" w:rsidP="00194998">
      <w:pPr>
        <w:rPr>
          <w:rFonts w:ascii="Arial" w:eastAsiaTheme="majorEastAsia" w:hAnsi="Arial" w:cs="Arial"/>
          <w:b/>
          <w:bCs/>
          <w:color w:val="549E39" w:themeColor="accent1"/>
          <w:sz w:val="22"/>
          <w:szCs w:val="22"/>
        </w:rPr>
      </w:pPr>
      <w:r w:rsidRPr="009E4FC7">
        <w:rPr>
          <w:rFonts w:ascii="Arial" w:eastAsiaTheme="majorEastAsia" w:hAnsi="Arial" w:cs="Arial"/>
          <w:b/>
          <w:bCs/>
          <w:color w:val="549E39" w:themeColor="accent1"/>
          <w:sz w:val="22"/>
          <w:szCs w:val="22"/>
        </w:rPr>
        <w:t>Grades and Credit</w:t>
      </w:r>
    </w:p>
    <w:p w14:paraId="1924256F" w14:textId="77777777" w:rsidR="00194998" w:rsidRPr="009E4FC7" w:rsidRDefault="00194998" w:rsidP="00194998">
      <w:pPr>
        <w:rPr>
          <w:rFonts w:ascii="Arial" w:hAnsi="Arial" w:cs="Arial"/>
          <w:color w:val="auto"/>
          <w:sz w:val="22"/>
          <w:szCs w:val="22"/>
        </w:rPr>
      </w:pPr>
      <w:r w:rsidRPr="009E4FC7">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1ABCC3CE" w14:textId="77777777" w:rsidR="004451C7" w:rsidRPr="009E4FC7" w:rsidRDefault="00A52EF5" w:rsidP="00A368A6">
      <w:pPr>
        <w:rPr>
          <w:rFonts w:ascii="Arial" w:hAnsi="Arial" w:cs="Arial"/>
          <w:sz w:val="22"/>
          <w:szCs w:val="22"/>
        </w:rPr>
      </w:pPr>
      <w:r w:rsidRPr="009E4FC7">
        <w:rPr>
          <w:rFonts w:ascii="Arial" w:hAnsi="Arial" w:cs="Arial"/>
          <w:sz w:val="22"/>
          <w:szCs w:val="22"/>
        </w:rPr>
        <w:t xml:space="preserve"> </w:t>
      </w:r>
    </w:p>
    <w:p w14:paraId="5293322E" w14:textId="77777777" w:rsidR="0058324B" w:rsidRPr="00EA25B2" w:rsidRDefault="0058324B" w:rsidP="0058324B">
      <w:pPr>
        <w:rPr>
          <w:rFonts w:ascii="Arial" w:eastAsiaTheme="majorEastAsia" w:hAnsi="Arial" w:cs="Arial"/>
          <w:b/>
          <w:bCs/>
          <w:color w:val="404040" w:themeColor="text1" w:themeTint="BF"/>
          <w:sz w:val="28"/>
          <w:szCs w:val="28"/>
        </w:rPr>
      </w:pPr>
      <w:bookmarkStart w:id="1" w:name="_Hlk516663454"/>
      <w:r w:rsidRPr="00EA25B2">
        <w:rPr>
          <w:rFonts w:ascii="Arial" w:eastAsiaTheme="majorEastAsia" w:hAnsi="Arial" w:cs="Arial"/>
          <w:b/>
          <w:bCs/>
          <w:color w:val="404040" w:themeColor="text1" w:themeTint="BF"/>
          <w:sz w:val="28"/>
          <w:szCs w:val="28"/>
        </w:rPr>
        <w:t>University Policies</w:t>
      </w:r>
    </w:p>
    <w:p w14:paraId="73F8F4AF" w14:textId="77777777" w:rsidR="0058324B" w:rsidRPr="00EA25B2" w:rsidRDefault="0058324B" w:rsidP="0058324B">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30CFE5F2" w14:textId="77777777" w:rsidR="0058324B" w:rsidRPr="00EA25B2" w:rsidRDefault="0058324B" w:rsidP="0058324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32B53EDF" w14:textId="77777777" w:rsidR="0058324B" w:rsidRPr="00EA25B2" w:rsidRDefault="0058324B" w:rsidP="0058324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6E39AF33" w14:textId="77777777" w:rsidR="0058324B" w:rsidRPr="00EA25B2" w:rsidRDefault="0058324B" w:rsidP="0058324B">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 xml:space="preserve">In keeping with UVU policy, evidence of academic dishonesty may result in a failing grade in the course and disciplinary review by the college.  Any student caught cheating will receive, at minimum, zero points on that </w:t>
      </w:r>
      <w:proofErr w:type="gramStart"/>
      <w:r w:rsidRPr="00EA25B2">
        <w:rPr>
          <w:rFonts w:ascii="Arial" w:eastAsiaTheme="minorHAnsi" w:hAnsi="Arial" w:cs="Arial"/>
          <w:bCs/>
          <w:sz w:val="22"/>
          <w:szCs w:val="22"/>
          <w:shd w:val="clear" w:color="auto" w:fill="FFFFFF"/>
          <w:lang w:eastAsia="ja-JP"/>
        </w:rPr>
        <w:t>particular assignment</w:t>
      </w:r>
      <w:proofErr w:type="gramEnd"/>
      <w:r w:rsidRPr="00EA25B2">
        <w:rPr>
          <w:rFonts w:ascii="Arial" w:eastAsiaTheme="minorHAnsi" w:hAnsi="Arial" w:cs="Arial"/>
          <w:bCs/>
          <w:sz w:val="22"/>
          <w:szCs w:val="22"/>
          <w:shd w:val="clear" w:color="auto" w:fill="FFFFFF"/>
          <w:lang w:eastAsia="ja-JP"/>
        </w:rPr>
        <w:t xml:space="preserve">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36032E97" w14:textId="77777777" w:rsidR="0058324B" w:rsidRPr="00EA25B2" w:rsidRDefault="0058324B" w:rsidP="0058324B">
      <w:pPr>
        <w:pStyle w:val="NormalWeb"/>
        <w:spacing w:before="0" w:beforeAutospacing="0" w:after="0" w:afterAutospacing="0" w:line="330" w:lineRule="atLeast"/>
        <w:textAlignment w:val="baseline"/>
        <w:rPr>
          <w:rFonts w:ascii="Arial" w:hAnsi="Arial" w:cs="Arial"/>
          <w:color w:val="666666"/>
          <w:spacing w:val="8"/>
          <w:sz w:val="18"/>
          <w:szCs w:val="18"/>
        </w:rPr>
      </w:pPr>
    </w:p>
    <w:p w14:paraId="331F2276" w14:textId="77777777" w:rsidR="0058324B" w:rsidRPr="00EA25B2" w:rsidRDefault="0058324B" w:rsidP="0058324B">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4C79C6E8" w14:textId="77777777" w:rsidR="0058324B" w:rsidRPr="00F14835" w:rsidRDefault="0058324B" w:rsidP="0058324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 xml:space="preserve">perform contracted </w:t>
      </w:r>
      <w:r w:rsidRPr="00EA25B2">
        <w:rPr>
          <w:rFonts w:ascii="Arial" w:eastAsia="Times New Roman" w:hAnsi="Arial" w:cs="Arial"/>
          <w:b/>
          <w:bCs/>
          <w:color w:val="auto"/>
          <w:sz w:val="22"/>
          <w:szCs w:val="22"/>
          <w:bdr w:val="none" w:sz="0" w:space="0" w:color="auto" w:frame="1"/>
          <w:lang w:eastAsia="en-US"/>
        </w:rPr>
        <w:lastRenderedPageBreak/>
        <w:t>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76D09B67" w14:textId="77777777" w:rsidR="0058324B" w:rsidRPr="00EA25B2" w:rsidRDefault="0058324B" w:rsidP="0058324B">
      <w:pPr>
        <w:shd w:val="clear" w:color="auto" w:fill="FFFFFF"/>
        <w:spacing w:after="0"/>
        <w:textAlignment w:val="baseline"/>
        <w:rPr>
          <w:rFonts w:ascii="Arial" w:eastAsia="Times New Roman" w:hAnsi="Arial" w:cs="Arial"/>
          <w:color w:val="auto"/>
          <w:sz w:val="22"/>
          <w:szCs w:val="22"/>
          <w:lang w:eastAsia="en-US"/>
        </w:rPr>
      </w:pPr>
    </w:p>
    <w:p w14:paraId="3BE6B88D" w14:textId="77777777" w:rsidR="0058324B" w:rsidRPr="00F14835" w:rsidRDefault="0058324B" w:rsidP="0058324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1D42D610" w14:textId="77777777" w:rsidR="0058324B" w:rsidRPr="00EA25B2" w:rsidRDefault="0058324B" w:rsidP="0058324B">
      <w:pPr>
        <w:shd w:val="clear" w:color="auto" w:fill="FFFFFF"/>
        <w:spacing w:after="0"/>
        <w:textAlignment w:val="baseline"/>
        <w:rPr>
          <w:rFonts w:ascii="Arial" w:eastAsia="Times New Roman" w:hAnsi="Arial" w:cs="Arial"/>
          <w:color w:val="auto"/>
          <w:sz w:val="22"/>
          <w:szCs w:val="22"/>
          <w:lang w:eastAsia="en-US"/>
        </w:rPr>
      </w:pPr>
    </w:p>
    <w:p w14:paraId="281AD950" w14:textId="77777777" w:rsidR="0058324B" w:rsidRPr="00EA25B2" w:rsidRDefault="0058324B" w:rsidP="0058324B">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10" w:history="1">
        <w:r w:rsidRPr="00EA25B2">
          <w:rPr>
            <w:rFonts w:ascii="Arial" w:hAnsi="Arial" w:cs="Arial"/>
            <w:bCs/>
            <w:color w:val="auto"/>
            <w:sz w:val="22"/>
            <w:szCs w:val="22"/>
            <w:shd w:val="clear" w:color="auto" w:fill="FFFFFF"/>
          </w:rPr>
          <w:t>http://www.uvu.edu/studentconduct/students/</w:t>
        </w:r>
      </w:hyperlink>
    </w:p>
    <w:p w14:paraId="290FA011" w14:textId="77777777" w:rsidR="0058324B" w:rsidRDefault="0058324B" w:rsidP="0058324B">
      <w:pPr>
        <w:rPr>
          <w:rFonts w:ascii="Arial" w:hAnsi="Arial" w:cs="Arial"/>
          <w:b/>
          <w:color w:val="549E39" w:themeColor="accent1"/>
          <w:sz w:val="22"/>
          <w:szCs w:val="22"/>
        </w:rPr>
      </w:pPr>
    </w:p>
    <w:p w14:paraId="577C6306" w14:textId="77777777" w:rsidR="0058324B" w:rsidRPr="00DF1766" w:rsidRDefault="0058324B" w:rsidP="0058324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59EFB585" w14:textId="77777777" w:rsidR="0058324B" w:rsidRDefault="0058324B" w:rsidP="0058324B">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w:t>
      </w:r>
      <w:proofErr w:type="gramStart"/>
      <w:r w:rsidRPr="00DF1766">
        <w:rPr>
          <w:rFonts w:ascii="Arial" w:hAnsi="Arial" w:cs="Arial"/>
          <w:color w:val="auto"/>
          <w:sz w:val="22"/>
          <w:szCs w:val="22"/>
        </w:rPr>
        <w:t>make contact with</w:t>
      </w:r>
      <w:proofErr w:type="gramEnd"/>
      <w:r w:rsidRPr="00DF1766">
        <w:rPr>
          <w:rFonts w:ascii="Arial" w:hAnsi="Arial" w:cs="Arial"/>
          <w:color w:val="auto"/>
          <w:sz w:val="22"/>
          <w:szCs w:val="22"/>
        </w:rPr>
        <w:t xml:space="preserve"> faculty members when unable to do so. </w:t>
      </w:r>
    </w:p>
    <w:p w14:paraId="5C138F13" w14:textId="77777777" w:rsidR="0058324B" w:rsidRPr="00DF1766" w:rsidRDefault="0058324B" w:rsidP="0058324B">
      <w:pPr>
        <w:widowControl w:val="0"/>
        <w:rPr>
          <w:rFonts w:ascii="Arial" w:hAnsi="Arial" w:cs="Arial"/>
          <w:color w:val="auto"/>
          <w:sz w:val="22"/>
          <w:szCs w:val="22"/>
        </w:rPr>
      </w:pPr>
    </w:p>
    <w:p w14:paraId="7564AAFC" w14:textId="77777777" w:rsidR="0058324B" w:rsidRPr="00DF1766" w:rsidRDefault="0058324B" w:rsidP="0058324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320072A5" w14:textId="77777777" w:rsidR="0058324B" w:rsidRPr="00DF1766" w:rsidRDefault="0058324B" w:rsidP="0058324B">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563AE966" w14:textId="77777777" w:rsidR="0058324B" w:rsidRPr="00DF1766" w:rsidRDefault="0058324B" w:rsidP="0058324B">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2D18D682" w14:textId="77777777" w:rsidR="0058324B" w:rsidRPr="00DF1766" w:rsidRDefault="0058324B" w:rsidP="0058324B">
      <w:pPr>
        <w:widowControl w:val="0"/>
        <w:rPr>
          <w:rFonts w:ascii="Arial" w:hAnsi="Arial" w:cs="Arial"/>
          <w:color w:val="auto"/>
          <w:sz w:val="22"/>
          <w:szCs w:val="22"/>
        </w:rPr>
      </w:pPr>
      <w:r w:rsidRPr="00DF1766">
        <w:rPr>
          <w:rFonts w:ascii="Arial" w:hAnsi="Arial" w:cs="Arial"/>
          <w:color w:val="auto"/>
          <w:sz w:val="22"/>
          <w:szCs w:val="22"/>
        </w:rPr>
        <w:t>Withdrawing from a course may impact your financial aid status. For more information, see: UVU Financial Aid.</w:t>
      </w:r>
    </w:p>
    <w:p w14:paraId="2CE9F4A5" w14:textId="77777777" w:rsidR="0058324B" w:rsidRPr="002B1F2A" w:rsidRDefault="0058324B" w:rsidP="0058324B">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265B395B" w14:textId="77777777" w:rsidR="0058324B" w:rsidRPr="002B1F2A" w:rsidRDefault="0058324B" w:rsidP="0058324B">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14B4229D" w14:textId="77777777" w:rsidR="0058324B" w:rsidRDefault="0058324B" w:rsidP="0058324B">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5DA0B09C" w14:textId="77777777" w:rsidR="0058324B" w:rsidRDefault="0058324B" w:rsidP="0058324B">
      <w:pPr>
        <w:rPr>
          <w:rFonts w:ascii="Arial" w:hAnsi="Arial" w:cs="Arial"/>
          <w:color w:val="auto"/>
          <w:sz w:val="22"/>
          <w:szCs w:val="22"/>
        </w:rPr>
      </w:pPr>
      <w:r w:rsidRPr="002B1F2A">
        <w:rPr>
          <w:rFonts w:ascii="Arial" w:hAnsi="Arial" w:cs="Arial"/>
          <w:color w:val="auto"/>
          <w:sz w:val="22"/>
          <w:szCs w:val="22"/>
        </w:rPr>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78A426C3" w14:textId="77777777" w:rsidR="0058324B" w:rsidRDefault="0058324B" w:rsidP="0058324B">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4C6FFBBA" w14:textId="77777777" w:rsidR="0058324B" w:rsidRDefault="0058324B" w:rsidP="0058324B">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7F18F631" w14:textId="77777777" w:rsidR="0058324B" w:rsidRDefault="0058324B" w:rsidP="0058324B">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7BA9BE04" w14:textId="77777777" w:rsidR="0058324B" w:rsidRDefault="0058324B" w:rsidP="0058324B">
      <w:pPr>
        <w:ind w:left="720"/>
        <w:rPr>
          <w:rFonts w:ascii="Arial" w:hAnsi="Arial" w:cs="Arial"/>
          <w:color w:val="auto"/>
          <w:sz w:val="22"/>
          <w:szCs w:val="22"/>
        </w:rPr>
      </w:pPr>
      <w:r w:rsidRPr="002B1F2A">
        <w:rPr>
          <w:rFonts w:ascii="Arial" w:hAnsi="Arial" w:cs="Arial"/>
          <w:color w:val="auto"/>
          <w:sz w:val="22"/>
          <w:szCs w:val="22"/>
        </w:rPr>
        <w:t xml:space="preserve">b) Listing sources in a bibliography not used in the academic exercise. </w:t>
      </w:r>
    </w:p>
    <w:p w14:paraId="39EBA859" w14:textId="77777777" w:rsidR="0058324B" w:rsidRDefault="0058324B" w:rsidP="0058324B">
      <w:pPr>
        <w:ind w:left="720"/>
        <w:rPr>
          <w:rFonts w:ascii="Arial" w:hAnsi="Arial" w:cs="Arial"/>
          <w:color w:val="auto"/>
          <w:sz w:val="22"/>
          <w:szCs w:val="22"/>
        </w:rPr>
      </w:pPr>
      <w:r w:rsidRPr="002B1F2A">
        <w:rPr>
          <w:rFonts w:ascii="Arial" w:hAnsi="Arial" w:cs="Arial"/>
          <w:color w:val="auto"/>
          <w:sz w:val="22"/>
          <w:szCs w:val="22"/>
        </w:rPr>
        <w:lastRenderedPageBreak/>
        <w:t>c) Submission in a paper, thesis, lab report, or other academic exercise of falsified, invented, or fictitious data or evidence, or deliberate and knowing concealment or distortion of the true nature, origin, or function of such data or evidence.</w:t>
      </w:r>
    </w:p>
    <w:p w14:paraId="20A632C7" w14:textId="77777777" w:rsidR="0058324B" w:rsidRPr="002B1F2A" w:rsidRDefault="0058324B" w:rsidP="0058324B">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22F6CAF8" w14:textId="77777777" w:rsidR="0058324B" w:rsidRPr="00EA25B2" w:rsidRDefault="0058324B" w:rsidP="0058324B">
      <w:pPr>
        <w:pStyle w:val="Default"/>
        <w:rPr>
          <w:rFonts w:ascii="Arial" w:hAnsi="Arial" w:cs="Arial"/>
          <w:sz w:val="22"/>
          <w:szCs w:val="22"/>
        </w:rPr>
      </w:pPr>
    </w:p>
    <w:p w14:paraId="70D55B4A" w14:textId="77777777" w:rsidR="0058324B" w:rsidRPr="00EA25B2" w:rsidRDefault="0058324B" w:rsidP="0058324B">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t>Students with Disabilities</w:t>
      </w:r>
    </w:p>
    <w:p w14:paraId="441C25DC" w14:textId="77777777" w:rsidR="0058324B" w:rsidRPr="00EA25B2" w:rsidRDefault="0058324B" w:rsidP="0058324B">
      <w:pPr>
        <w:pStyle w:val="Default"/>
        <w:rPr>
          <w:rFonts w:ascii="Arial" w:eastAsiaTheme="minorHAnsi" w:hAnsi="Arial" w:cs="Arial"/>
          <w:color w:val="808080" w:themeColor="background1" w:themeShade="80"/>
          <w:sz w:val="22"/>
          <w:szCs w:val="22"/>
          <w:lang w:eastAsia="ja-JP"/>
        </w:rPr>
      </w:pPr>
    </w:p>
    <w:p w14:paraId="06E54C0E" w14:textId="77777777" w:rsidR="0058324B" w:rsidRDefault="0058324B" w:rsidP="0058324B">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1"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25A3747A" w14:textId="77777777" w:rsidR="0058324B" w:rsidRDefault="0058324B" w:rsidP="0058324B">
      <w:pPr>
        <w:rPr>
          <w:rFonts w:ascii="Arial" w:hAnsi="Arial" w:cs="Arial"/>
          <w:bCs/>
          <w:color w:val="auto"/>
          <w:sz w:val="22"/>
          <w:szCs w:val="22"/>
          <w:shd w:val="clear" w:color="auto" w:fill="FFFFFF"/>
        </w:rPr>
      </w:pPr>
      <w:r w:rsidRPr="00354203">
        <w:rPr>
          <w:rFonts w:ascii="Arial" w:hAnsi="Arial" w:cs="Arial"/>
          <w:b/>
          <w:color w:val="549E39" w:themeColor="accent1"/>
          <w:sz w:val="22"/>
          <w:szCs w:val="22"/>
        </w:rPr>
        <w:t>Religious Accommodations</w:t>
      </w:r>
    </w:p>
    <w:p w14:paraId="0AB8396D" w14:textId="77777777" w:rsidR="0058324B" w:rsidRPr="00F3584E" w:rsidRDefault="0058324B" w:rsidP="0058324B">
      <w:pPr>
        <w:rPr>
          <w:rFonts w:ascii="Arial" w:hAnsi="Arial" w:cs="Arial"/>
          <w:bCs/>
          <w:color w:val="auto"/>
          <w:sz w:val="22"/>
          <w:szCs w:val="22"/>
          <w:shd w:val="clear" w:color="auto" w:fill="FFFFFF"/>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587FBA8D" w14:textId="77777777" w:rsidR="0058324B" w:rsidRPr="00D551E9" w:rsidRDefault="0058324B" w:rsidP="0058324B">
      <w:pPr>
        <w:pStyle w:val="Default"/>
        <w:rPr>
          <w:rFonts w:ascii="Arial" w:hAnsi="Arial" w:cs="Arial"/>
          <w:color w:val="auto"/>
          <w:sz w:val="22"/>
          <w:szCs w:val="22"/>
        </w:rPr>
      </w:pPr>
    </w:p>
    <w:p w14:paraId="372496A7" w14:textId="77777777" w:rsidR="0058324B" w:rsidRDefault="0058324B" w:rsidP="0058324B">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11B45FEF" w14:textId="77777777" w:rsidR="0058324B" w:rsidRPr="00D551E9" w:rsidRDefault="0058324B" w:rsidP="0058324B">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4FD11071" w14:textId="77777777" w:rsidR="0058324B" w:rsidRPr="00D551E9" w:rsidRDefault="0058324B" w:rsidP="0058324B">
      <w:pPr>
        <w:pStyle w:val="Default"/>
        <w:rPr>
          <w:rFonts w:ascii="Arial" w:hAnsi="Arial" w:cs="Arial"/>
          <w:sz w:val="22"/>
          <w:szCs w:val="22"/>
        </w:rPr>
      </w:pPr>
    </w:p>
    <w:p w14:paraId="227096DE" w14:textId="77777777" w:rsidR="0058324B" w:rsidRDefault="0058324B" w:rsidP="0058324B">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Discriminatory, Exclusionary, or Disruptive Behavior</w:t>
      </w:r>
    </w:p>
    <w:p w14:paraId="545897FE" w14:textId="77777777" w:rsidR="0058324B" w:rsidRDefault="0058324B" w:rsidP="0058324B">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65CBC0D7" w14:textId="77777777" w:rsidR="0058324B" w:rsidRDefault="0058324B" w:rsidP="0058324B">
      <w:pPr>
        <w:widowControl w:val="0"/>
        <w:rPr>
          <w:rFonts w:ascii="Arial" w:hAnsi="Arial" w:cs="Arial"/>
          <w:b/>
          <w:color w:val="auto"/>
          <w:sz w:val="22"/>
          <w:szCs w:val="22"/>
        </w:rPr>
      </w:pPr>
    </w:p>
    <w:p w14:paraId="54B1E294" w14:textId="77777777" w:rsidR="0058324B" w:rsidRPr="00DF1766" w:rsidRDefault="0058324B" w:rsidP="0058324B">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474E25E0" w14:textId="77777777" w:rsidR="0058324B" w:rsidRPr="00DF1766" w:rsidRDefault="0058324B" w:rsidP="0058324B">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reviews, discussion and group activities. </w:t>
      </w:r>
    </w:p>
    <w:p w14:paraId="1C0FE19D" w14:textId="77777777" w:rsidR="0058324B" w:rsidRPr="00D551E9" w:rsidRDefault="0058324B" w:rsidP="0058324B">
      <w:pPr>
        <w:pStyle w:val="Default"/>
        <w:rPr>
          <w:rFonts w:ascii="Arial" w:hAnsi="Arial" w:cs="Arial"/>
          <w:sz w:val="22"/>
          <w:szCs w:val="22"/>
        </w:rPr>
      </w:pPr>
    </w:p>
    <w:p w14:paraId="284EF258" w14:textId="77777777" w:rsidR="0058324B" w:rsidRPr="00354203" w:rsidRDefault="0058324B" w:rsidP="0058324B">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77B3D72F" w14:textId="77777777" w:rsidR="0058324B" w:rsidRPr="00D551E9" w:rsidRDefault="0058324B" w:rsidP="0058324B">
      <w:pPr>
        <w:pStyle w:val="Default"/>
        <w:widowControl w:val="0"/>
        <w:numPr>
          <w:ilvl w:val="0"/>
          <w:numId w:val="9"/>
        </w:numPr>
        <w:rPr>
          <w:rFonts w:ascii="Arial" w:hAnsi="Arial" w:cs="Arial"/>
          <w:sz w:val="22"/>
          <w:szCs w:val="22"/>
        </w:rPr>
      </w:pPr>
      <w:r w:rsidRPr="00D551E9">
        <w:rPr>
          <w:rFonts w:ascii="Arial" w:hAnsi="Arial" w:cs="Arial"/>
          <w:sz w:val="22"/>
          <w:szCs w:val="22"/>
        </w:rPr>
        <w:t xml:space="preserve">Policy 541: Student Rights and Responsibilities Code </w:t>
      </w:r>
      <w:hyperlink r:id="rId12" w:history="1">
        <w:r w:rsidRPr="00D551E9">
          <w:rPr>
            <w:rStyle w:val="Hyperlink"/>
            <w:rFonts w:ascii="Arial" w:eastAsiaTheme="majorEastAsia" w:hAnsi="Arial" w:cs="Arial"/>
            <w:sz w:val="22"/>
            <w:szCs w:val="22"/>
          </w:rPr>
          <w:t>https://www.uvu.edu/catalog/current/policies-requirements/student-rights-and-responsibilities.html</w:t>
        </w:r>
      </w:hyperlink>
    </w:p>
    <w:p w14:paraId="49530F46" w14:textId="77777777" w:rsidR="0058324B" w:rsidRPr="00D551E9" w:rsidRDefault="0058324B" w:rsidP="0058324B">
      <w:pPr>
        <w:pStyle w:val="Default"/>
        <w:widowControl w:val="0"/>
        <w:numPr>
          <w:ilvl w:val="0"/>
          <w:numId w:val="9"/>
        </w:numPr>
        <w:rPr>
          <w:rFonts w:ascii="Arial" w:hAnsi="Arial" w:cs="Arial"/>
          <w:sz w:val="22"/>
          <w:szCs w:val="22"/>
        </w:rPr>
      </w:pPr>
      <w:r w:rsidRPr="00D551E9">
        <w:rPr>
          <w:rFonts w:ascii="Arial" w:hAnsi="Arial" w:cs="Arial"/>
          <w:sz w:val="22"/>
          <w:szCs w:val="22"/>
        </w:rPr>
        <w:t xml:space="preserve">Policy 601: Classroom Instruction and Management. </w:t>
      </w:r>
      <w:hyperlink r:id="rId13" w:history="1">
        <w:r w:rsidRPr="00D551E9">
          <w:rPr>
            <w:rStyle w:val="Hyperlink"/>
            <w:rFonts w:ascii="Arial" w:eastAsiaTheme="majorEastAsia" w:hAnsi="Arial" w:cs="Arial"/>
            <w:sz w:val="22"/>
            <w:szCs w:val="22"/>
          </w:rPr>
          <w:t>https://policy.uvu.edu/getDisplayFile/5750ed2697e4c89872d95664</w:t>
        </w:r>
      </w:hyperlink>
    </w:p>
    <w:p w14:paraId="127DCB2C" w14:textId="77777777" w:rsidR="0058324B" w:rsidRPr="00D551E9" w:rsidRDefault="0058324B" w:rsidP="0058324B">
      <w:pPr>
        <w:pStyle w:val="Default"/>
        <w:widowControl w:val="0"/>
        <w:numPr>
          <w:ilvl w:val="0"/>
          <w:numId w:val="9"/>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4" w:history="1">
        <w:r w:rsidRPr="00B41704">
          <w:rPr>
            <w:rStyle w:val="Hyperlink"/>
            <w:rFonts w:ascii="Arial" w:eastAsiaTheme="majorEastAsia" w:hAnsi="Arial" w:cs="Arial"/>
            <w:sz w:val="22"/>
            <w:szCs w:val="22"/>
          </w:rPr>
          <w:t>https://policy.uvu.edu/getDisplayFile/563a40bc65db23201153c27d</w:t>
        </w:r>
      </w:hyperlink>
    </w:p>
    <w:p w14:paraId="7EE8092F" w14:textId="77777777" w:rsidR="0058324B" w:rsidRDefault="0058324B" w:rsidP="0058324B">
      <w:pPr>
        <w:pBdr>
          <w:top w:val="nil"/>
          <w:left w:val="nil"/>
          <w:bottom w:val="nil"/>
          <w:right w:val="nil"/>
          <w:between w:val="nil"/>
        </w:pBdr>
        <w:rPr>
          <w:rFonts w:ascii="Arial" w:eastAsia="Calibri" w:hAnsi="Arial" w:cs="Arial"/>
          <w:b/>
          <w:color w:val="549E39" w:themeColor="accent1"/>
          <w:sz w:val="22"/>
          <w:szCs w:val="22"/>
        </w:rPr>
      </w:pPr>
    </w:p>
    <w:p w14:paraId="26B544BD" w14:textId="77777777" w:rsidR="0058324B" w:rsidRPr="00DF1766" w:rsidRDefault="0058324B" w:rsidP="0058324B">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t>Definitions</w:t>
      </w:r>
    </w:p>
    <w:p w14:paraId="131AD976" w14:textId="77777777" w:rsidR="0058324B" w:rsidRPr="00DF1766" w:rsidRDefault="0058324B" w:rsidP="0058324B">
      <w:pPr>
        <w:numPr>
          <w:ilvl w:val="1"/>
          <w:numId w:val="10"/>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lastRenderedPageBreak/>
        <w:t>Syllabus: An agreement between faculty and students that communicates course structure, schedule, student expectations, expected course outcomes, and methods of assessment to students.</w:t>
      </w:r>
    </w:p>
    <w:p w14:paraId="08152C55" w14:textId="77777777" w:rsidR="0058324B" w:rsidRPr="00EA25B2" w:rsidRDefault="0058324B" w:rsidP="0058324B">
      <w:pPr>
        <w:pStyle w:val="Heading3"/>
        <w:rPr>
          <w:rFonts w:ascii="Arial" w:hAnsi="Arial" w:cs="Arial"/>
          <w:b/>
          <w:bCs/>
          <w:color w:val="549E39" w:themeColor="accent1"/>
          <w:sz w:val="20"/>
          <w:szCs w:val="20"/>
        </w:rPr>
      </w:pPr>
    </w:p>
    <w:p w14:paraId="2F526FA7" w14:textId="77777777" w:rsidR="0058324B" w:rsidRPr="00EA25B2" w:rsidRDefault="0058324B" w:rsidP="0058324B">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08922B0B" w14:textId="77777777" w:rsidR="0058324B" w:rsidRPr="00EA25B2" w:rsidRDefault="0058324B" w:rsidP="0058324B">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6A8A0283" w14:textId="77777777" w:rsidR="0058324B" w:rsidRDefault="0058324B" w:rsidP="0058324B">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4B8F3A4C" w14:textId="77777777" w:rsidR="0058324B" w:rsidRPr="00DF1766" w:rsidRDefault="0058324B" w:rsidP="0058324B">
      <w:pPr>
        <w:pStyle w:val="Title"/>
        <w:rPr>
          <w:rFonts w:ascii="Arial" w:hAnsi="Arial" w:cs="Arial"/>
          <w:color w:val="auto"/>
          <w:sz w:val="22"/>
          <w:szCs w:val="22"/>
        </w:rPr>
      </w:pPr>
      <w:r w:rsidRPr="00DF1766">
        <w:rPr>
          <w:rFonts w:ascii="Arial" w:hAnsi="Arial" w:cs="Arial"/>
          <w:color w:val="auto"/>
          <w:sz w:val="22"/>
          <w:szCs w:val="22"/>
        </w:rPr>
        <w:t>Due dates and this syllabus may change at the instructor’s discretion due to the needs of the class members.</w:t>
      </w:r>
    </w:p>
    <w:bookmarkEnd w:id="1"/>
    <w:p w14:paraId="0222CB02" w14:textId="6A26F84A" w:rsidR="005861E1" w:rsidRPr="009E4FC7" w:rsidRDefault="005861E1" w:rsidP="0058324B">
      <w:pPr>
        <w:rPr>
          <w:rFonts w:ascii="Arial" w:hAnsi="Arial" w:cs="Arial"/>
          <w:sz w:val="22"/>
          <w:szCs w:val="22"/>
        </w:rPr>
      </w:pPr>
    </w:p>
    <w:sectPr w:rsidR="005861E1" w:rsidRPr="009E4FC7" w:rsidSect="0058324B">
      <w:type w:val="continuous"/>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A7D6" w14:textId="77777777" w:rsidR="003971B1" w:rsidRDefault="003971B1">
      <w:pPr>
        <w:spacing w:after="0"/>
      </w:pPr>
      <w:r>
        <w:separator/>
      </w:r>
    </w:p>
  </w:endnote>
  <w:endnote w:type="continuationSeparator" w:id="0">
    <w:p w14:paraId="117BD680" w14:textId="77777777" w:rsidR="003971B1" w:rsidRDefault="00397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9221"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F4B5F" w14:textId="77777777" w:rsidR="003971B1" w:rsidRDefault="003971B1">
      <w:pPr>
        <w:spacing w:after="0"/>
      </w:pPr>
      <w:r>
        <w:separator/>
      </w:r>
    </w:p>
  </w:footnote>
  <w:footnote w:type="continuationSeparator" w:id="0">
    <w:p w14:paraId="27E38FD0" w14:textId="77777777" w:rsidR="003971B1" w:rsidRDefault="003971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4"/>
    <w:lvlOverride w:ilvl="0">
      <w:startOverride w:val="1"/>
    </w:lvlOverride>
  </w:num>
  <w:num w:numId="6">
    <w:abstractNumId w:val="1"/>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06ACA"/>
    <w:rsid w:val="0002372A"/>
    <w:rsid w:val="00035E18"/>
    <w:rsid w:val="0009472F"/>
    <w:rsid w:val="000A307C"/>
    <w:rsid w:val="000B5D22"/>
    <w:rsid w:val="000C54B8"/>
    <w:rsid w:val="000E6603"/>
    <w:rsid w:val="00100709"/>
    <w:rsid w:val="00156D5C"/>
    <w:rsid w:val="00194998"/>
    <w:rsid w:val="001E090C"/>
    <w:rsid w:val="002470E9"/>
    <w:rsid w:val="002620CF"/>
    <w:rsid w:val="002A2500"/>
    <w:rsid w:val="002F238C"/>
    <w:rsid w:val="0035334F"/>
    <w:rsid w:val="00376A96"/>
    <w:rsid w:val="00383A7C"/>
    <w:rsid w:val="00386123"/>
    <w:rsid w:val="003971B1"/>
    <w:rsid w:val="003B0412"/>
    <w:rsid w:val="00410054"/>
    <w:rsid w:val="004451C7"/>
    <w:rsid w:val="00445E58"/>
    <w:rsid w:val="00452E1C"/>
    <w:rsid w:val="00461E13"/>
    <w:rsid w:val="00464386"/>
    <w:rsid w:val="004644BA"/>
    <w:rsid w:val="00472EFE"/>
    <w:rsid w:val="00476BF8"/>
    <w:rsid w:val="004E25B8"/>
    <w:rsid w:val="004F7832"/>
    <w:rsid w:val="00566F99"/>
    <w:rsid w:val="0058324B"/>
    <w:rsid w:val="005861E1"/>
    <w:rsid w:val="00640FB2"/>
    <w:rsid w:val="006831E2"/>
    <w:rsid w:val="006A613B"/>
    <w:rsid w:val="006E1AC8"/>
    <w:rsid w:val="006F30B3"/>
    <w:rsid w:val="00762F1D"/>
    <w:rsid w:val="00770939"/>
    <w:rsid w:val="00820148"/>
    <w:rsid w:val="00825AF7"/>
    <w:rsid w:val="00872E98"/>
    <w:rsid w:val="008A7519"/>
    <w:rsid w:val="008E7F19"/>
    <w:rsid w:val="009C5F61"/>
    <w:rsid w:val="009E4FC7"/>
    <w:rsid w:val="009F1377"/>
    <w:rsid w:val="009F70A0"/>
    <w:rsid w:val="00A02607"/>
    <w:rsid w:val="00A26B5F"/>
    <w:rsid w:val="00A368A6"/>
    <w:rsid w:val="00A52EF5"/>
    <w:rsid w:val="00A976E3"/>
    <w:rsid w:val="00B5768B"/>
    <w:rsid w:val="00B6590A"/>
    <w:rsid w:val="00B9785D"/>
    <w:rsid w:val="00BF681B"/>
    <w:rsid w:val="00C471AE"/>
    <w:rsid w:val="00C82A4E"/>
    <w:rsid w:val="00C858DF"/>
    <w:rsid w:val="00D9327F"/>
    <w:rsid w:val="00DA66B7"/>
    <w:rsid w:val="00E058E9"/>
    <w:rsid w:val="00E63857"/>
    <w:rsid w:val="00E754A3"/>
    <w:rsid w:val="00F26331"/>
    <w:rsid w:val="00F402B7"/>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8B23D6"/>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931740496">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750ed2697e4c89872d956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u.edu/catalog/current/policies-requirements/student-rights-and-responsibil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uvu.edu/owa/redir.aspx?C=r3xUa4y2bkalWljgIj1VXM3KzYlusNIIESMqIpkF5USfG-H3cUMstYl8DNScKc_quB49PvOQ-l0.&amp;URL=mailto%3anicole.hemmingsen%40uv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vu.edu/studentconduct/stud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licy.uvu.edu/getDisplayFile/563a40bc65db23201153c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Template>
  <TotalTime>4</TotalTime>
  <Pages>6</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Diane Skousen</cp:lastModifiedBy>
  <cp:revision>7</cp:revision>
  <dcterms:created xsi:type="dcterms:W3CDTF">2018-04-13T15:25:00Z</dcterms:created>
  <dcterms:modified xsi:type="dcterms:W3CDTF">2018-06-14T17:37:00Z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