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E1B74" w:rsidP="5EBDAE88" w:rsidRDefault="00C26219" w14:paraId="03A3E218" wp14:textId="144779E9">
      <w:pPr>
        <w:pStyle w:val="Heading1"/>
        <w:keepNext w:val="0"/>
        <w:keepLines w:val="0"/>
        <w:spacing w:before="480" w:after="120"/>
        <w:jc w:val="center"/>
        <w:rPr>
          <w:b w:val="1"/>
          <w:bCs w:val="1"/>
          <w:color w:val="000000"/>
          <w:sz w:val="34"/>
          <w:szCs w:val="34"/>
        </w:rPr>
      </w:pPr>
      <w:bookmarkStart w:name="_heading=h.109jlb7cx16" w:id="0"/>
      <w:bookmarkEnd w:id="0"/>
      <w:bookmarkStart w:name="_Int_N3CKQ0aD" w:id="1251476214"/>
      <w:r w:rsidRPr="48A274FF" w:rsidR="00C26219">
        <w:rPr>
          <w:b w:val="1"/>
          <w:bCs w:val="1"/>
          <w:color w:val="000000" w:themeColor="text1" w:themeTint="FF" w:themeShade="FF"/>
          <w:sz w:val="46"/>
          <w:szCs w:val="46"/>
        </w:rPr>
        <w:t>202</w:t>
      </w:r>
      <w:r w:rsidRPr="48A274FF" w:rsidR="0920B767">
        <w:rPr>
          <w:b w:val="1"/>
          <w:bCs w:val="1"/>
          <w:color w:val="000000" w:themeColor="text1" w:themeTint="FF" w:themeShade="FF"/>
          <w:sz w:val="46"/>
          <w:szCs w:val="46"/>
        </w:rPr>
        <w:t>4</w:t>
      </w:r>
      <w:r w:rsidRPr="48A274FF" w:rsidR="00C26219">
        <w:rPr>
          <w:b w:val="1"/>
          <w:bCs w:val="1"/>
          <w:color w:val="000000" w:themeColor="text1" w:themeTint="FF" w:themeShade="FF"/>
          <w:sz w:val="46"/>
          <w:szCs w:val="46"/>
        </w:rPr>
        <w:t>-202</w:t>
      </w:r>
      <w:r w:rsidRPr="48A274FF" w:rsidR="0B279DB7">
        <w:rPr>
          <w:b w:val="1"/>
          <w:bCs w:val="1"/>
          <w:color w:val="000000" w:themeColor="text1" w:themeTint="FF" w:themeShade="FF"/>
          <w:sz w:val="46"/>
          <w:szCs w:val="46"/>
        </w:rPr>
        <w:t>5</w:t>
      </w:r>
      <w:r w:rsidRPr="48A274FF" w:rsidR="00C26219">
        <w:rPr>
          <w:b w:val="1"/>
          <w:bCs w:val="1"/>
          <w:color w:val="000000" w:themeColor="text1" w:themeTint="FF" w:themeShade="FF"/>
          <w:sz w:val="46"/>
          <w:szCs w:val="46"/>
        </w:rPr>
        <w:t xml:space="preserve"> FTA Best Design Rubric</w:t>
      </w:r>
      <w:bookmarkEnd w:id="1251476214"/>
    </w:p>
    <w:tbl>
      <w:tblPr>
        <w:tblW w:w="13443" w:type="dxa"/>
        <w:tblBorders>
          <w:top w:val="nil"/>
          <w:left w:val="nil"/>
          <w:bottom w:val="nil"/>
          <w:right w:val="nil"/>
          <w:insideH w:val="nil"/>
          <w:insideV w:val="nil"/>
        </w:tblBorders>
        <w:tblLayout w:type="fixed"/>
        <w:tblLook w:val="0600" w:firstRow="0" w:lastRow="0" w:firstColumn="0" w:lastColumn="0" w:noHBand="1" w:noVBand="1"/>
      </w:tblPr>
      <w:tblGrid>
        <w:gridCol w:w="2240"/>
        <w:gridCol w:w="2240"/>
        <w:gridCol w:w="2240"/>
        <w:gridCol w:w="2241"/>
        <w:gridCol w:w="2241"/>
        <w:gridCol w:w="2241"/>
      </w:tblGrid>
      <w:tr xmlns:wp14="http://schemas.microsoft.com/office/word/2010/wordml" w:rsidR="002E1B74" w:rsidTr="48A274FF" w14:paraId="7200B2C8" wp14:textId="77777777">
        <w:trPr>
          <w:trHeight w:val="1295"/>
        </w:trPr>
        <w:tc>
          <w:tcPr>
            <w:tcW w:w="22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1E5A74F1" wp14:textId="77777777">
            <w:pPr>
              <w:spacing w:after="0" w:line="276" w:lineRule="auto"/>
              <w:jc w:val="center"/>
              <w:rPr>
                <w:b/>
              </w:rPr>
            </w:pPr>
            <w:r>
              <w:rPr>
                <w:b/>
              </w:rPr>
              <w:t>Category</w:t>
            </w:r>
          </w:p>
        </w:tc>
        <w:tc>
          <w:tcPr>
            <w:tcW w:w="2240"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78941E47" wp14:textId="77777777">
            <w:pPr>
              <w:spacing w:after="0" w:line="276" w:lineRule="auto"/>
              <w:jc w:val="center"/>
              <w:rPr>
                <w:b/>
              </w:rPr>
            </w:pPr>
            <w:r>
              <w:rPr>
                <w:b/>
              </w:rPr>
              <w:t>5</w:t>
            </w:r>
          </w:p>
          <w:p w:rsidR="002E1B74" w:rsidRDefault="00C26219" w14:paraId="468954C0" wp14:textId="77777777">
            <w:pPr>
              <w:spacing w:after="0" w:line="276" w:lineRule="auto"/>
              <w:jc w:val="center"/>
              <w:rPr>
                <w:b/>
              </w:rPr>
            </w:pPr>
            <w:r>
              <w:rPr>
                <w:b/>
              </w:rPr>
              <w:t>Superior Evidence</w:t>
            </w:r>
          </w:p>
        </w:tc>
        <w:tc>
          <w:tcPr>
            <w:tcW w:w="2240"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2598DEE6" wp14:textId="77777777">
            <w:pPr>
              <w:spacing w:after="0" w:line="276" w:lineRule="auto"/>
              <w:jc w:val="center"/>
              <w:rPr>
                <w:b/>
              </w:rPr>
            </w:pPr>
            <w:r>
              <w:rPr>
                <w:b/>
              </w:rPr>
              <w:t>4</w:t>
            </w:r>
          </w:p>
          <w:p w:rsidR="002E1B74" w:rsidRDefault="00C26219" w14:paraId="1827DE7C" wp14:textId="77777777">
            <w:pPr>
              <w:spacing w:after="0" w:line="276" w:lineRule="auto"/>
              <w:jc w:val="center"/>
              <w:rPr>
                <w:b/>
              </w:rPr>
            </w:pPr>
            <w:r>
              <w:rPr>
                <w:b/>
              </w:rPr>
              <w:t>Exemplary Evidence</w:t>
            </w:r>
          </w:p>
        </w:tc>
        <w:tc>
          <w:tcPr>
            <w:tcW w:w="2240"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5FCD5EC4" wp14:textId="77777777">
            <w:pPr>
              <w:spacing w:after="0" w:line="276" w:lineRule="auto"/>
              <w:jc w:val="center"/>
              <w:rPr>
                <w:b/>
              </w:rPr>
            </w:pPr>
            <w:r>
              <w:rPr>
                <w:b/>
              </w:rPr>
              <w:t>3</w:t>
            </w:r>
          </w:p>
          <w:p w:rsidR="002E1B74" w:rsidRDefault="00C26219" w14:paraId="7C1F31E9" wp14:textId="77777777">
            <w:pPr>
              <w:spacing w:after="0" w:line="276" w:lineRule="auto"/>
              <w:jc w:val="center"/>
              <w:rPr>
                <w:b/>
              </w:rPr>
            </w:pPr>
            <w:r>
              <w:rPr>
                <w:b/>
              </w:rPr>
              <w:t>Sufficient Evidence</w:t>
            </w:r>
          </w:p>
        </w:tc>
        <w:tc>
          <w:tcPr>
            <w:tcW w:w="2240"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18F999B5" wp14:textId="77777777">
            <w:pPr>
              <w:spacing w:after="0" w:line="276" w:lineRule="auto"/>
              <w:jc w:val="center"/>
              <w:rPr>
                <w:b/>
              </w:rPr>
            </w:pPr>
            <w:r>
              <w:rPr>
                <w:b/>
              </w:rPr>
              <w:t>2</w:t>
            </w:r>
          </w:p>
          <w:p w:rsidR="002E1B74" w:rsidRDefault="00C26219" w14:paraId="0C1BA6E0" wp14:textId="77777777">
            <w:pPr>
              <w:spacing w:after="0" w:line="276" w:lineRule="auto"/>
              <w:jc w:val="center"/>
              <w:rPr>
                <w:b/>
              </w:rPr>
            </w:pPr>
            <w:r>
              <w:rPr>
                <w:b/>
              </w:rPr>
              <w:t>Some Evidence</w:t>
            </w:r>
          </w:p>
        </w:tc>
        <w:tc>
          <w:tcPr>
            <w:tcW w:w="2240"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649841BE" wp14:textId="77777777">
            <w:pPr>
              <w:spacing w:after="0" w:line="276" w:lineRule="auto"/>
              <w:jc w:val="center"/>
              <w:rPr>
                <w:b/>
              </w:rPr>
            </w:pPr>
            <w:r>
              <w:rPr>
                <w:b/>
              </w:rPr>
              <w:t>1</w:t>
            </w:r>
          </w:p>
          <w:p w:rsidR="002E1B74" w:rsidRDefault="00C26219" w14:paraId="0E589C41" wp14:textId="77777777">
            <w:pPr>
              <w:spacing w:after="0" w:line="276" w:lineRule="auto"/>
              <w:jc w:val="center"/>
              <w:rPr>
                <w:b/>
              </w:rPr>
            </w:pPr>
            <w:r>
              <w:rPr>
                <w:b/>
              </w:rPr>
              <w:t>No Evidence</w:t>
            </w:r>
          </w:p>
        </w:tc>
      </w:tr>
      <w:tr xmlns:wp14="http://schemas.microsoft.com/office/word/2010/wordml" w:rsidR="002E1B74" w:rsidTr="48A274FF" w14:paraId="042D5A58" wp14:textId="77777777">
        <w:trPr>
          <w:trHeight w:val="1650"/>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52108130" wp14:textId="77777777">
            <w:pPr>
              <w:spacing w:after="0" w:line="276" w:lineRule="auto"/>
              <w:rPr>
                <w:b/>
              </w:rPr>
            </w:pPr>
            <w:r>
              <w:rPr>
                <w:b/>
              </w:rPr>
              <w:t>Cohesion</w:t>
            </w:r>
          </w:p>
          <w:p w:rsidR="002E1B74" w:rsidRDefault="00C26219" w14:paraId="2BD726B6" wp14:textId="77777777">
            <w:pPr>
              <w:spacing w:after="0" w:line="276" w:lineRule="auto"/>
              <w:rPr>
                <w:b/>
              </w:rPr>
            </w:pPr>
            <w:r>
              <w:rPr>
                <w:b/>
              </w:rPr>
              <w:t>(Course components interleave into a unified experience)</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6C35CBE8" wp14:textId="77777777">
            <w:pPr>
              <w:spacing w:after="0" w:line="276" w:lineRule="auto"/>
            </w:pPr>
            <w:r>
              <w:t>Assessments within the course interleave strongly and across modules.</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4225C22" wp14:textId="77777777">
            <w:pPr>
              <w:spacing w:after="0" w:line="276" w:lineRule="auto"/>
            </w:pPr>
            <w:r>
              <w:t>Assessments within the course interleave somewhat strongly. Some ties across modules but not comprehensively</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7F74810" wp14:textId="77777777">
            <w:pPr>
              <w:spacing w:after="0" w:line="276" w:lineRule="auto"/>
            </w:pPr>
            <w:r>
              <w:t>Assessments within the course interleave in a functional manner.</w:t>
            </w:r>
          </w:p>
          <w:p w:rsidR="002E1B74" w:rsidRDefault="00C26219" w14:paraId="265629D9" wp14:textId="77777777">
            <w:pPr>
              <w:spacing w:after="0" w:line="276" w:lineRule="auto"/>
            </w:pPr>
            <w:r>
              <w:t>Additional connections are possible but not evident.</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18964139" wp14:textId="77777777">
            <w:pPr>
              <w:spacing w:after="0" w:line="276" w:lineRule="auto"/>
            </w:pPr>
            <w:r>
              <w:t>Some assessments within the course interleave but only in a limited manner.</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65676715" wp14:textId="77777777">
            <w:pPr>
              <w:spacing w:after="0" w:line="276" w:lineRule="auto"/>
            </w:pPr>
            <w:r>
              <w:t>Assessments within the course are only loosely interleaved. Each module seems to function in isolation relative to each other.</w:t>
            </w:r>
          </w:p>
        </w:tc>
      </w:tr>
      <w:tr xmlns:wp14="http://schemas.microsoft.com/office/word/2010/wordml" w:rsidR="002E1B74" w:rsidTr="48A274FF" w14:paraId="2B477C2E" wp14:textId="77777777">
        <w:trPr>
          <w:trHeight w:val="915"/>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29D6B04F" wp14:textId="77777777">
            <w:pPr>
              <w:spacing w:after="0" w:line="276" w:lineRule="auto"/>
              <w:rPr>
                <w:b/>
              </w:rPr>
            </w:pPr>
            <w:r>
              <w:rPr>
                <w:b/>
              </w:rPr>
              <w:t xml:space="preserve"> </w:t>
            </w:r>
          </w:p>
        </w:tc>
        <w:tc>
          <w:tcPr>
            <w:tcW w:w="11200" w:type="dxa"/>
            <w:gridSpan w:val="5"/>
            <w:tcBorders>
              <w:top w:val="nil"/>
              <w:left w:val="nil"/>
              <w:bottom w:val="single" w:color="BFBFBF" w:themeColor="background1" w:themeShade="BF" w:sz="8" w:space="0"/>
              <w:right w:val="single" w:color="BFBFBF" w:themeColor="background1" w:themeShade="BF" w:sz="8" w:space="0"/>
            </w:tcBorders>
            <w:tcMar>
              <w:top w:w="100" w:type="dxa"/>
              <w:left w:w="100" w:type="dxa"/>
              <w:bottom w:w="100" w:type="dxa"/>
              <w:right w:w="100" w:type="dxa"/>
            </w:tcMar>
            <w:vAlign w:val="center"/>
          </w:tcPr>
          <w:p w:rsidR="002E1B74" w:rsidRDefault="00C26219" w14:paraId="742B085C" wp14:textId="77777777">
            <w:pPr>
              <w:spacing w:after="0" w:line="276" w:lineRule="auto"/>
            </w:pPr>
            <w:r>
              <w:rPr>
                <w:i/>
              </w:rPr>
              <w:t>Evidence in application:</w:t>
            </w:r>
            <w:r>
              <w:t xml:space="preserve"> Syllabus; particularly assignment descriptions. Course schedule. Example modules. 1-page write-up. Examples of reflection or the application of concepts across multiple points within the course.</w:t>
            </w:r>
          </w:p>
        </w:tc>
      </w:tr>
      <w:tr xmlns:wp14="http://schemas.microsoft.com/office/word/2010/wordml" w:rsidR="002E1B74" w:rsidTr="48A274FF" w14:paraId="767819F6" wp14:textId="77777777">
        <w:trPr>
          <w:trHeight w:val="2790"/>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9057B4D" wp14:textId="77777777">
            <w:pPr>
              <w:spacing w:after="0" w:line="276" w:lineRule="auto"/>
              <w:rPr>
                <w:b/>
              </w:rPr>
            </w:pPr>
            <w:r>
              <w:rPr>
                <w:b/>
              </w:rPr>
              <w:t>Innovation/creativity</w:t>
            </w:r>
          </w:p>
          <w:p w:rsidR="002E1B74" w:rsidRDefault="00C26219" w14:paraId="071A5425" wp14:textId="77777777">
            <w:pPr>
              <w:spacing w:after="0" w:line="276" w:lineRule="auto"/>
              <w:rPr>
                <w:b/>
              </w:rPr>
            </w:pPr>
            <w:r>
              <w:rPr>
                <w:b/>
              </w:rPr>
              <w:t>(Use of technology and/or pedagogy to solve an instructional problem)</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7AC49664" wp14:textId="77777777">
            <w:pPr>
              <w:spacing w:after="0" w:line="276" w:lineRule="auto"/>
            </w:pPr>
            <w:r>
              <w:t>Solves a major problem and creates significant opportunities for students in deepening their learning of the subject material</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77134B1D" wp14:textId="77777777">
            <w:pPr>
              <w:spacing w:after="0" w:line="276" w:lineRule="auto"/>
            </w:pPr>
            <w:r>
              <w:t>Solves a notable problem or creates an opportunity in an efficient manner</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A1D6CC5" wp14:textId="77777777">
            <w:pPr>
              <w:spacing w:after="0" w:line="276" w:lineRule="auto"/>
            </w:pPr>
            <w:r>
              <w:t>Solves a problem or provides an instructional opportunity</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35CB73AB" wp14:textId="77777777">
            <w:pPr>
              <w:spacing w:after="0" w:line="276" w:lineRule="auto"/>
            </w:pPr>
            <w:r>
              <w:t>May solve a minor problem or create a slightly novel approach</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465E6367" wp14:textId="77777777">
            <w:pPr>
              <w:spacing w:after="0" w:line="276" w:lineRule="auto"/>
            </w:pPr>
            <w:r>
              <w:t>Does not solve a specific problem or create new instructional opportunities</w:t>
            </w:r>
          </w:p>
        </w:tc>
      </w:tr>
      <w:tr xmlns:wp14="http://schemas.microsoft.com/office/word/2010/wordml" w:rsidR="002E1B74" w:rsidTr="48A274FF" w14:paraId="6F01691E" wp14:textId="77777777">
        <w:trPr>
          <w:trHeight w:val="770"/>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00" w:type="dxa"/>
              <w:left w:w="100" w:type="dxa"/>
              <w:bottom w:w="100" w:type="dxa"/>
              <w:right w:w="100" w:type="dxa"/>
            </w:tcMar>
            <w:vAlign w:val="center"/>
          </w:tcPr>
          <w:p w:rsidR="002E1B74" w:rsidRDefault="00C26219" w14:paraId="0A6959E7" wp14:textId="77777777">
            <w:pPr>
              <w:spacing w:after="0" w:line="276" w:lineRule="auto"/>
              <w:rPr>
                <w:b/>
              </w:rPr>
            </w:pPr>
            <w:r>
              <w:rPr>
                <w:b/>
              </w:rPr>
              <w:t xml:space="preserve"> </w:t>
            </w:r>
          </w:p>
        </w:tc>
        <w:tc>
          <w:tcPr>
            <w:tcW w:w="11200" w:type="dxa"/>
            <w:gridSpan w:val="5"/>
            <w:tcBorders>
              <w:top w:val="nil"/>
              <w:left w:val="nil"/>
              <w:bottom w:val="single" w:color="BFBFBF" w:themeColor="background1" w:themeShade="BF" w:sz="8" w:space="0"/>
              <w:right w:val="single" w:color="BFBFBF" w:themeColor="background1" w:themeShade="BF" w:sz="8" w:space="0"/>
            </w:tcBorders>
            <w:shd w:val="clear" w:color="auto" w:fill="auto"/>
            <w:tcMar>
              <w:top w:w="100" w:type="dxa"/>
              <w:left w:w="100" w:type="dxa"/>
              <w:bottom w:w="100" w:type="dxa"/>
              <w:right w:w="100" w:type="dxa"/>
            </w:tcMar>
            <w:vAlign w:val="center"/>
          </w:tcPr>
          <w:p w:rsidR="002E1B74" w:rsidRDefault="00C26219" w14:paraId="6E035950" wp14:textId="77777777">
            <w:pPr>
              <w:spacing w:after="0" w:line="276" w:lineRule="auto"/>
            </w:pPr>
            <w:r>
              <w:rPr>
                <w:i/>
              </w:rPr>
              <w:t>Evidence in application</w:t>
            </w:r>
            <w:r>
              <w:t>:  1-page write-up. Applicant describes problem and how course design solves it.</w:t>
            </w:r>
          </w:p>
        </w:tc>
      </w:tr>
      <w:tr xmlns:wp14="http://schemas.microsoft.com/office/word/2010/wordml" w:rsidR="002E1B74" w:rsidTr="48A274FF" w14:paraId="762E8DAD" wp14:textId="77777777">
        <w:trPr>
          <w:trHeight w:val="2940"/>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FBF1903" wp14:textId="77777777">
            <w:pPr>
              <w:spacing w:after="0" w:line="256" w:lineRule="auto"/>
              <w:rPr>
                <w:b/>
              </w:rPr>
            </w:pPr>
            <w:r>
              <w:rPr>
                <w:b/>
              </w:rPr>
              <w:t>Interaction</w:t>
            </w:r>
          </w:p>
          <w:p w:rsidR="002E1B74" w:rsidRDefault="00C26219" w14:paraId="0BEE1994" wp14:textId="77777777">
            <w:pPr>
              <w:spacing w:after="0" w:line="256" w:lineRule="auto"/>
              <w:rPr>
                <w:b/>
              </w:rPr>
            </w:pPr>
            <w:r>
              <w:rPr>
                <w:b/>
              </w:rPr>
              <w:t>(Course sets conditions in which students are ready to learn and evidence that interaction will occur.)</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4373CB07" wp14:textId="77777777">
            <w:pPr>
              <w:spacing w:after="0" w:line="276" w:lineRule="auto"/>
            </w:pPr>
            <w:r>
              <w:t>Builds trust and manages instruction in a manner that anticipates potential problems. Evidence of planned interaction that is tightly aligned to course and module outcomes.</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3549A60" wp14:textId="77777777">
            <w:pPr>
              <w:spacing w:after="0" w:line="256" w:lineRule="auto"/>
            </w:pPr>
            <w:r>
              <w:t>Builds trust thoroughly. Manages instruction in an effective manner. Evidence of planned interaction through a variety of methods.</w:t>
            </w:r>
          </w:p>
          <w:p w:rsidR="002E1B74" w:rsidRDefault="00C26219" w14:paraId="12F40E89" wp14:textId="77777777">
            <w:pPr>
              <w:spacing w:after="0" w:line="276" w:lineRule="auto"/>
            </w:pPr>
            <w:r>
              <w:t xml:space="preserve"> </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33D1D3FC" wp14:textId="77777777">
            <w:pPr>
              <w:spacing w:after="0" w:line="276" w:lineRule="auto"/>
            </w:pPr>
            <w:r>
              <w:t>Builds trust and manages instruction. Regular and substantive interaction evidenced.</w:t>
            </w:r>
          </w:p>
          <w:p w:rsidR="002E1B74" w:rsidRDefault="00C26219" w14:paraId="608DEACE" wp14:textId="77777777">
            <w:pPr>
              <w:spacing w:after="0" w:line="276" w:lineRule="auto"/>
            </w:pPr>
            <w:r>
              <w:t xml:space="preserve"> </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61A1ABE4" wp14:textId="77777777">
            <w:pPr>
              <w:spacing w:after="0" w:line="276" w:lineRule="auto"/>
            </w:pPr>
            <w:r>
              <w:t>Some attempts at building trust or managing instruction. Some evidence of at least one kind of interaction.</w:t>
            </w:r>
          </w:p>
          <w:p w:rsidR="002E1B74" w:rsidRDefault="00C26219" w14:paraId="2BAC6FC9" wp14:textId="77777777">
            <w:pPr>
              <w:spacing w:after="0" w:line="276" w:lineRule="auto"/>
            </w:pPr>
            <w:r>
              <w:t xml:space="preserve"> </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05ACAD61" wp14:textId="77777777">
            <w:pPr>
              <w:spacing w:after="0" w:line="276" w:lineRule="auto"/>
            </w:pPr>
            <w:r>
              <w:t>Does not build trust or adequately manage instruction. No evidence of between students or the instructor.</w:t>
            </w:r>
          </w:p>
          <w:p w:rsidR="002E1B74" w:rsidRDefault="00C26219" w14:paraId="156A6281" wp14:textId="77777777">
            <w:pPr>
              <w:spacing w:after="0" w:line="276" w:lineRule="auto"/>
            </w:pPr>
            <w:r>
              <w:t xml:space="preserve"> </w:t>
            </w:r>
          </w:p>
        </w:tc>
      </w:tr>
      <w:tr xmlns:wp14="http://schemas.microsoft.com/office/word/2010/wordml" w:rsidR="002E1B74" w:rsidTr="48A274FF" w14:paraId="5805B3C2" wp14:textId="77777777">
        <w:trPr>
          <w:trHeight w:val="600"/>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00" w:type="dxa"/>
              <w:left w:w="100" w:type="dxa"/>
              <w:bottom w:w="100" w:type="dxa"/>
              <w:right w:w="100" w:type="dxa"/>
            </w:tcMar>
            <w:vAlign w:val="center"/>
          </w:tcPr>
          <w:p w:rsidR="002E1B74" w:rsidRDefault="00C26219" w14:paraId="20876B09" wp14:textId="77777777">
            <w:pPr>
              <w:spacing w:after="0" w:line="276" w:lineRule="auto"/>
              <w:rPr>
                <w:b/>
              </w:rPr>
            </w:pPr>
            <w:r>
              <w:rPr>
                <w:b/>
              </w:rPr>
              <w:t xml:space="preserve"> </w:t>
            </w:r>
          </w:p>
        </w:tc>
        <w:tc>
          <w:tcPr>
            <w:tcW w:w="11200" w:type="dxa"/>
            <w:gridSpan w:val="5"/>
            <w:tcBorders>
              <w:top w:val="nil"/>
              <w:left w:val="nil"/>
              <w:bottom w:val="single" w:color="BFBFBF" w:themeColor="background1" w:themeShade="BF" w:sz="8" w:space="0"/>
              <w:right w:val="single" w:color="BFBFBF" w:themeColor="background1" w:themeShade="BF" w:sz="8" w:space="0"/>
            </w:tcBorders>
            <w:shd w:val="clear" w:color="auto" w:fill="auto"/>
            <w:tcMar>
              <w:top w:w="100" w:type="dxa"/>
              <w:left w:w="100" w:type="dxa"/>
              <w:bottom w:w="100" w:type="dxa"/>
              <w:right w:w="100" w:type="dxa"/>
            </w:tcMar>
            <w:vAlign w:val="center"/>
          </w:tcPr>
          <w:p w:rsidR="002E1B74" w:rsidRDefault="00C26219" w14:paraId="462F7415" wp14:textId="77777777">
            <w:pPr>
              <w:spacing w:after="0" w:line="276" w:lineRule="auto"/>
            </w:pPr>
            <w:r>
              <w:rPr>
                <w:i/>
              </w:rPr>
              <w:t>Evidence in application</w:t>
            </w:r>
            <w:r>
              <w:t>: For building trust - How This Course Works and other explanations of the course setup. ‘Icebreaker’ or other activities to introduce students, office hours. Managing instruction may be ‘netiquette’ guides, rubrics or other guidance for interactions. For interaction - Assignment descriptions, Course Schedule, How This Course Works, example modules.</w:t>
            </w:r>
          </w:p>
        </w:tc>
      </w:tr>
      <w:tr xmlns:wp14="http://schemas.microsoft.com/office/word/2010/wordml" w:rsidR="002E1B74" w:rsidTr="48A274FF" w14:paraId="7D85970E" wp14:textId="77777777">
        <w:trPr>
          <w:trHeight w:val="3309"/>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4F307A81" wp14:textId="77777777">
            <w:pPr>
              <w:spacing w:after="0" w:line="256" w:lineRule="auto"/>
              <w:rPr>
                <w:b/>
              </w:rPr>
            </w:pPr>
            <w:r>
              <w:rPr>
                <w:b/>
              </w:rPr>
              <w:t>Student Success</w:t>
            </w:r>
          </w:p>
          <w:p w:rsidR="002E1B74" w:rsidRDefault="00C26219" w14:paraId="250AC864" wp14:textId="77777777">
            <w:pPr>
              <w:spacing w:after="0" w:line="276" w:lineRule="auto"/>
              <w:rPr>
                <w:b/>
              </w:rPr>
            </w:pPr>
            <w:r>
              <w:rPr>
                <w:b/>
              </w:rPr>
              <w:t>(Evidence of student support mechanisms)</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65F90585" wp14:textId="77777777">
            <w:pPr>
              <w:spacing w:after="0" w:line="276" w:lineRule="auto"/>
            </w:pPr>
            <w:r>
              <w:t>Modules provide connections between content, scaffolding in tasks, and directly applicable to module outcomes. Student success strategies demonstrate a tailored approach specifically for the course. Resources are presented to students in a positive manner.</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40245387" wp14:textId="77777777">
            <w:pPr>
              <w:spacing w:after="0" w:line="276" w:lineRule="auto"/>
            </w:pPr>
            <w:r>
              <w:t>Content within modules is organized logically and provides connections between content and scaffolding in tasks. Resources are presented to students in a positive manner.</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2A5D4899" wp14:textId="77777777">
            <w:pPr>
              <w:spacing w:after="0" w:line="276" w:lineRule="auto"/>
            </w:pPr>
            <w:r>
              <w:t>Content within modules is logically organized. Uses common student success strategies.</w:t>
            </w:r>
          </w:p>
          <w:p w:rsidR="002E1B74" w:rsidRDefault="00C26219" w14:paraId="10146664" wp14:textId="77777777">
            <w:pPr>
              <w:spacing w:after="0" w:line="276" w:lineRule="auto"/>
            </w:pPr>
            <w:r>
              <w:t xml:space="preserve"> </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50EE1A89" wp14:textId="77777777">
            <w:pPr>
              <w:spacing w:after="0" w:line="276" w:lineRule="auto"/>
            </w:pPr>
            <w:r>
              <w:t>Content within modules has some logical organization. Some evidence of student success strategies.</w:t>
            </w:r>
          </w:p>
          <w:p w:rsidR="002E1B74" w:rsidRDefault="00C26219" w14:paraId="5B68B9CD" wp14:textId="77777777">
            <w:pPr>
              <w:spacing w:after="0" w:line="276" w:lineRule="auto"/>
            </w:pPr>
            <w:r>
              <w:t xml:space="preserve"> </w:t>
            </w:r>
          </w:p>
        </w:tc>
        <w:tc>
          <w:tcPr>
            <w:tcW w:w="2240" w:type="dxa"/>
            <w:tcBorders>
              <w:top w:val="nil"/>
              <w:left w:val="nil"/>
              <w:bottom w:val="single" w:color="BFBFBF" w:themeColor="background1" w:themeShade="BF" w:sz="8" w:space="0"/>
              <w:right w:val="single" w:color="BFBFBF" w:themeColor="background1" w:themeShade="BF" w:sz="8" w:space="0"/>
            </w:tcBorders>
            <w:shd w:val="clear" w:color="auto" w:fill="F2F2F2" w:themeFill="background1" w:themeFillShade="F2"/>
            <w:tcMar>
              <w:top w:w="100" w:type="dxa"/>
              <w:left w:w="100" w:type="dxa"/>
              <w:bottom w:w="100" w:type="dxa"/>
              <w:right w:w="100" w:type="dxa"/>
            </w:tcMar>
            <w:vAlign w:val="center"/>
          </w:tcPr>
          <w:p w:rsidR="002E1B74" w:rsidRDefault="00C26219" w14:paraId="4C31C63C" wp14:textId="77777777">
            <w:pPr>
              <w:spacing w:after="0" w:line="276" w:lineRule="auto"/>
            </w:pPr>
            <w:r>
              <w:t>Content within modules is disorganized in their presentation. No evidence of student success strategies within the course.</w:t>
            </w:r>
          </w:p>
        </w:tc>
      </w:tr>
      <w:tr xmlns:wp14="http://schemas.microsoft.com/office/word/2010/wordml" w:rsidR="002E1B74" w:rsidTr="48A274FF" w14:paraId="6A9D07EC" wp14:textId="77777777">
        <w:trPr>
          <w:trHeight w:val="915"/>
        </w:trPr>
        <w:tc>
          <w:tcPr>
            <w:tcW w:w="2240"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00" w:type="dxa"/>
              <w:left w:w="100" w:type="dxa"/>
              <w:bottom w:w="100" w:type="dxa"/>
              <w:right w:w="100" w:type="dxa"/>
            </w:tcMar>
            <w:vAlign w:val="center"/>
          </w:tcPr>
          <w:p w:rsidR="002E1B74" w:rsidRDefault="00C26219" w14:paraId="1B7172F4" wp14:textId="77777777">
            <w:pPr>
              <w:spacing w:after="0" w:line="276" w:lineRule="auto"/>
              <w:rPr>
                <w:b/>
              </w:rPr>
            </w:pPr>
            <w:r>
              <w:rPr>
                <w:b/>
              </w:rPr>
              <w:t xml:space="preserve"> </w:t>
            </w:r>
          </w:p>
        </w:tc>
        <w:tc>
          <w:tcPr>
            <w:tcW w:w="11200" w:type="dxa"/>
            <w:gridSpan w:val="5"/>
            <w:tcBorders>
              <w:top w:val="nil"/>
              <w:left w:val="nil"/>
              <w:bottom w:val="single" w:color="BFBFBF" w:themeColor="background1" w:themeShade="BF" w:sz="8" w:space="0"/>
              <w:right w:val="single" w:color="BFBFBF" w:themeColor="background1" w:themeShade="BF" w:sz="8" w:space="0"/>
            </w:tcBorders>
            <w:shd w:val="clear" w:color="auto" w:fill="auto"/>
            <w:tcMar>
              <w:top w:w="100" w:type="dxa"/>
              <w:left w:w="100" w:type="dxa"/>
              <w:bottom w:w="100" w:type="dxa"/>
              <w:right w:w="100" w:type="dxa"/>
            </w:tcMar>
            <w:vAlign w:val="center"/>
          </w:tcPr>
          <w:p w:rsidR="002E1B74" w:rsidRDefault="00C26219" w14:paraId="10D2B99A" wp14:textId="77777777">
            <w:pPr>
              <w:spacing w:after="0" w:line="276" w:lineRule="auto"/>
            </w:pPr>
            <w:r>
              <w:rPr>
                <w:i/>
              </w:rPr>
              <w:t>Evidence in application</w:t>
            </w:r>
            <w:r>
              <w:t>: Support links included in the course; syllabus. Example modules may show student success strategies (e.g. links to Writing Center/tutoring). 1-page application.</w:t>
            </w:r>
          </w:p>
        </w:tc>
      </w:tr>
    </w:tbl>
    <w:p xmlns:wp14="http://schemas.microsoft.com/office/word/2010/wordml" w:rsidR="002E1B74" w:rsidRDefault="002E1B74" w14:paraId="672A6659" wp14:textId="77777777">
      <w:pPr>
        <w:spacing w:before="240" w:after="240"/>
      </w:pPr>
    </w:p>
    <w:sectPr w:rsidR="002E1B74">
      <w:headerReference w:type="even" r:id="rId7"/>
      <w:headerReference w:type="default" r:id="rId8"/>
      <w:footerReference w:type="even" r:id="rId9"/>
      <w:footerReference w:type="default" r:id="rId10"/>
      <w:headerReference w:type="first" r:id="rId11"/>
      <w:footerReference w:type="first" r:id="rId12"/>
      <w:pgSz w:w="15840" w:h="12240" w:orient="landscape"/>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6219" w:rsidRDefault="00C26219" w14:paraId="6A05A809" wp14:textId="77777777">
      <w:pPr>
        <w:spacing w:after="0" w:line="240" w:lineRule="auto"/>
      </w:pPr>
      <w:r>
        <w:separator/>
      </w:r>
    </w:p>
  </w:endnote>
  <w:endnote w:type="continuationSeparator" w:id="0">
    <w:p xmlns:wp14="http://schemas.microsoft.com/office/word/2010/wordml" w:rsidR="00C26219" w:rsidRDefault="00C26219"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B74" w:rsidRDefault="002E1B74" w14:paraId="60061E4C" wp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B74" w:rsidRDefault="002E1B74" w14:paraId="0E27B00A" wp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B74" w:rsidRDefault="002E1B74" w14:paraId="02EB378F"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6219" w:rsidRDefault="00C26219" w14:paraId="72A3D3EC" wp14:textId="77777777">
      <w:pPr>
        <w:spacing w:after="0" w:line="240" w:lineRule="auto"/>
      </w:pPr>
      <w:r>
        <w:separator/>
      </w:r>
    </w:p>
  </w:footnote>
  <w:footnote w:type="continuationSeparator" w:id="0">
    <w:p xmlns:wp14="http://schemas.microsoft.com/office/word/2010/wordml" w:rsidR="00C26219" w:rsidRDefault="00C26219" w14:paraId="0D0B940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B74" w:rsidRDefault="002E1B74" w14:paraId="5DAB6C7B" wp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B74" w:rsidRDefault="002E1B74" w14:paraId="0A37501D" wp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E1B74" w:rsidRDefault="002E1B74" w14:paraId="41C8F396" wp14:textId="77777777">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int2:observations>
    <int2:bookmark int2:bookmarkName="_Int_N3CKQ0aD" int2:invalidationBookmarkName="" int2:hashCode="GHLXWkNo7DbV1b" int2:id="mENQKKyZ">
      <int2:state int2:type="WordDesignerSuggestedImageAnnotation" int2:value="Review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74"/>
    <w:rsid w:val="002D4191"/>
    <w:rsid w:val="002E1B74"/>
    <w:rsid w:val="00C26219"/>
    <w:rsid w:val="0920B767"/>
    <w:rsid w:val="0B279DB7"/>
    <w:rsid w:val="48A274FF"/>
    <w:rsid w:val="5EBDA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C513D0"/>
  <w15:docId w15:val="{D9ADE293-1AD7-493C-B7EB-822B6347DA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A476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F38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735E8"/>
    <w:pPr>
      <w:ind w:left="720"/>
      <w:contextualSpacing/>
    </w:pPr>
  </w:style>
  <w:style w:type="character" w:styleId="Heading1Char" w:customStyle="1">
    <w:name w:val="Heading 1 Char"/>
    <w:basedOn w:val="DefaultParagraphFont"/>
    <w:link w:val="Heading1"/>
    <w:uiPriority w:val="9"/>
    <w:rsid w:val="000A4760"/>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8C7804"/>
    <w:rPr>
      <w:color w:val="0563C1" w:themeColor="hyperlink"/>
      <w:u w:val="single"/>
    </w:rPr>
  </w:style>
  <w:style w:type="character" w:styleId="UnresolvedMention">
    <w:name w:val="Unresolved Mention"/>
    <w:basedOn w:val="DefaultParagraphFont"/>
    <w:uiPriority w:val="99"/>
    <w:semiHidden/>
    <w:unhideWhenUsed/>
    <w:rsid w:val="008C7804"/>
    <w:rPr>
      <w:color w:val="605E5C"/>
      <w:shd w:val="clear" w:color="auto" w:fill="E1DFDD"/>
    </w:rPr>
  </w:style>
  <w:style w:type="paragraph" w:styleId="Header">
    <w:name w:val="header"/>
    <w:basedOn w:val="Normal"/>
    <w:link w:val="HeaderChar"/>
    <w:uiPriority w:val="99"/>
    <w:unhideWhenUsed/>
    <w:rsid w:val="000F58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F58E0"/>
  </w:style>
  <w:style w:type="paragraph" w:styleId="Footer">
    <w:name w:val="footer"/>
    <w:basedOn w:val="Normal"/>
    <w:link w:val="FooterChar"/>
    <w:uiPriority w:val="99"/>
    <w:unhideWhenUsed/>
    <w:rsid w:val="000F58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F58E0"/>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1b510bce768b497e" Type="http://schemas.microsoft.com/office/2020/10/relationships/intelligence" Target="intelligence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Ubo2fy5Z1To8D/MDY7TLmPEe8Q==">AMUW2mUwvIJUxziUNHJA/6ix90Bh/qIUVp3WLv6O2ZoRvEvbpTon91a3mUtWFPiHNU0Gyin5a338e7wQYCR+s4tt2DYFwZql3HGBB8LiSfhDmWkIUYFNu+YPiHbkPeKy0fzyQTHMyE52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8900A44C30803479148C288915004C4" ma:contentTypeVersion="21" ma:contentTypeDescription="Create a new document." ma:contentTypeScope="" ma:versionID="6eeb01c300b235b7cdde0c4250546ae9">
  <xsd:schema xmlns:xsd="http://www.w3.org/2001/XMLSchema" xmlns:xs="http://www.w3.org/2001/XMLSchema" xmlns:p="http://schemas.microsoft.com/office/2006/metadata/properties" xmlns:ns2="8ad66611-18f0-4a1c-a4e4-75a91f7d27ef" xmlns:ns3="e302496e-f715-4ccd-a8ba-9aaa521c976a" targetNamespace="http://schemas.microsoft.com/office/2006/metadata/properties" ma:root="true" ma:fieldsID="9eb42534e43ad9e90a744bc1e244952a" ns2:_="" ns3:_="">
    <xsd:import namespace="8ad66611-18f0-4a1c-a4e4-75a91f7d27ef"/>
    <xsd:import namespace="e302496e-f715-4ccd-a8ba-9aaa521c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Presenters" minOccurs="0"/>
                <xsd:element ref="ns2:DateofPresent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66611-18f0-4a1c-a4e4-75a91f7d2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Presenters" ma:index="21" nillable="true" ma:displayName="Presenters" ma:format="Dropdown" ma:list="UserInfo" ma:SharePointGroup="0" ma:internalName="Present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Presentation" ma:index="22" nillable="true" ma:displayName="Date of Presentation" ma:format="DateOnly" ma:internalName="DateofPresentation">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2496e-f715-4ccd-a8ba-9aaa521c97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d381007-a87d-4dde-bc7b-6e727b554d0d}" ma:internalName="TaxCatchAll" ma:showField="CatchAllData" ma:web="e302496e-f715-4ccd-a8ba-9aaa521c9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ofPresentation xmlns="8ad66611-18f0-4a1c-a4e4-75a91f7d27ef" xsi:nil="true"/>
    <TaxCatchAll xmlns="e302496e-f715-4ccd-a8ba-9aaa521c976a" xsi:nil="true"/>
    <lcf76f155ced4ddcb4097134ff3c332f xmlns="8ad66611-18f0-4a1c-a4e4-75a91f7d27ef">
      <Terms xmlns="http://schemas.microsoft.com/office/infopath/2007/PartnerControls"/>
    </lcf76f155ced4ddcb4097134ff3c332f>
    <Presenters xmlns="8ad66611-18f0-4a1c-a4e4-75a91f7d27ef">
      <UserInfo>
        <DisplayName/>
        <AccountId xsi:nil="true"/>
        <AccountType/>
      </UserInfo>
    </Present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B89DCEF-1533-49BB-B0E3-AE6FC4D97CE7}"/>
</file>

<file path=customXml/itemProps3.xml><?xml version="1.0" encoding="utf-8"?>
<ds:datastoreItem xmlns:ds="http://schemas.openxmlformats.org/officeDocument/2006/customXml" ds:itemID="{6F1D1676-3FD9-41A2-BF11-E227D4254A1E}"/>
</file>

<file path=customXml/itemProps4.xml><?xml version="1.0" encoding="utf-8"?>
<ds:datastoreItem xmlns:ds="http://schemas.openxmlformats.org/officeDocument/2006/customXml" ds:itemID="{E647C870-CD73-411D-9EAA-BF94B0F0AB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Gurell</dc:creator>
  <cp:lastModifiedBy>Seth Gurell</cp:lastModifiedBy>
  <cp:revision>3</cp:revision>
  <dcterms:created xsi:type="dcterms:W3CDTF">2024-07-17T23:17:00Z</dcterms:created>
  <dcterms:modified xsi:type="dcterms:W3CDTF">2024-10-08T22:33:44Z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0x01010098900A44C30803479148C288915004C4</vt:lpwstr>
  </property>
  <property fmtid="{D5CDD505-2E9C-101B-9397-08002B2CF9AE}" pid="3" name="MediaServiceImageTags">
    <vt:lpwstr/>
  </property>
</Properties>
</file>