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CEA" w:rsidRDefault="002F2CEA" w:rsidP="002F2CEA">
      <w:pPr>
        <w:spacing w:before="129"/>
        <w:ind w:left="922" w:right="446"/>
        <w:rPr>
          <w:b/>
          <w:sz w:val="28"/>
        </w:rPr>
      </w:pPr>
      <w:r w:rsidRPr="002F2CEA">
        <w:rPr>
          <w:b/>
          <w:noProof/>
          <w:sz w:val="28"/>
        </w:rPr>
        <w:drawing>
          <wp:inline distT="0" distB="0" distL="0" distR="0">
            <wp:extent cx="1562100" cy="1228725"/>
            <wp:effectExtent l="0" t="0" r="0" b="0"/>
            <wp:docPr id="2" name="Picture 2" descr="C:\Users\10087448\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087448\Desk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0" cy="1228725"/>
                    </a:xfrm>
                    <a:prstGeom prst="rect">
                      <a:avLst/>
                    </a:prstGeom>
                    <a:noFill/>
                    <a:ln>
                      <a:noFill/>
                    </a:ln>
                  </pic:spPr>
                </pic:pic>
              </a:graphicData>
            </a:graphic>
          </wp:inline>
        </w:drawing>
      </w:r>
    </w:p>
    <w:p w:rsidR="00C63248" w:rsidRDefault="0027113B">
      <w:pPr>
        <w:spacing w:before="129"/>
        <w:ind w:left="922" w:right="446"/>
        <w:jc w:val="center"/>
        <w:rPr>
          <w:b/>
          <w:sz w:val="28"/>
        </w:rPr>
      </w:pPr>
      <w:r>
        <w:rPr>
          <w:b/>
          <w:sz w:val="28"/>
        </w:rPr>
        <w:t>CERTIFICATION OF COMPLIANCE WITH EMPLOYEE/ SUBCONTRACTOR QUALIFIED HEALTH INSURANCE COVERAGE</w:t>
      </w:r>
    </w:p>
    <w:p w:rsidR="00C63248" w:rsidRDefault="00C92ECD" w:rsidP="00C92ECD">
      <w:pPr>
        <w:pStyle w:val="BodyText"/>
        <w:spacing w:before="7"/>
        <w:jc w:val="center"/>
        <w:rPr>
          <w:b/>
          <w:sz w:val="22"/>
        </w:rPr>
      </w:pPr>
      <w:r>
        <w:rPr>
          <w:b/>
          <w:sz w:val="22"/>
        </w:rPr>
        <w:t>November 1, 2017</w:t>
      </w:r>
      <w:bookmarkStart w:id="0" w:name="_GoBack"/>
      <w:bookmarkEnd w:id="0"/>
    </w:p>
    <w:p w:rsidR="00C92ECD" w:rsidRDefault="00C92ECD" w:rsidP="00C92ECD">
      <w:pPr>
        <w:pStyle w:val="BodyText"/>
        <w:spacing w:before="7"/>
        <w:jc w:val="center"/>
        <w:rPr>
          <w:b/>
          <w:sz w:val="22"/>
        </w:rPr>
      </w:pPr>
    </w:p>
    <w:p w:rsidR="002F2CEA" w:rsidRDefault="002F2CEA" w:rsidP="002F2CEA">
      <w:pPr>
        <w:ind w:left="180"/>
      </w:pPr>
      <w:r>
        <w:t>UTAH VALLEY UNIVERSITY</w:t>
      </w:r>
      <w:r w:rsidR="0027113B">
        <w:t xml:space="preserve"> PROJECT NAME: _</w:t>
      </w:r>
      <w:r>
        <w:t>______________________________________________</w:t>
      </w:r>
    </w:p>
    <w:p w:rsidR="002F2CEA" w:rsidRDefault="002F2CEA" w:rsidP="002F2CEA">
      <w:pPr>
        <w:ind w:left="180"/>
      </w:pPr>
    </w:p>
    <w:p w:rsidR="00C63248" w:rsidRDefault="002F2CEA" w:rsidP="002F2CEA">
      <w:pPr>
        <w:ind w:left="180"/>
      </w:pPr>
      <w:r>
        <w:t>UTAH VALLEY UNIVERSITY</w:t>
      </w:r>
      <w:r w:rsidR="0027113B">
        <w:t xml:space="preserve"> CONTRACT</w:t>
      </w:r>
      <w:r w:rsidR="0027113B">
        <w:rPr>
          <w:spacing w:val="-5"/>
        </w:rPr>
        <w:t xml:space="preserve"> </w:t>
      </w:r>
      <w:r w:rsidR="0027113B">
        <w:t>NO:</w:t>
      </w:r>
      <w:r w:rsidR="0027113B">
        <w:rPr>
          <w:spacing w:val="-1"/>
        </w:rPr>
        <w:t xml:space="preserve"> </w:t>
      </w:r>
      <w:r>
        <w:rPr>
          <w:spacing w:val="-1"/>
        </w:rPr>
        <w:t>__________________________________________</w:t>
      </w:r>
      <w:r w:rsidR="0027113B">
        <w:t>_</w:t>
      </w:r>
      <w:r w:rsidR="0027113B">
        <w:rPr>
          <w:u w:val="single"/>
        </w:rPr>
        <w:t xml:space="preserve"> </w:t>
      </w:r>
      <w:r w:rsidR="0027113B">
        <w:rPr>
          <w:u w:val="single"/>
        </w:rPr>
        <w:tab/>
      </w:r>
      <w:r w:rsidR="0027113B">
        <w:t>_</w:t>
      </w:r>
    </w:p>
    <w:p w:rsidR="00C63248" w:rsidRDefault="00C63248">
      <w:pPr>
        <w:pStyle w:val="BodyText"/>
        <w:spacing w:before="6"/>
      </w:pPr>
    </w:p>
    <w:p w:rsidR="00C63248" w:rsidRDefault="0027113B" w:rsidP="002F2CEA">
      <w:pPr>
        <w:pStyle w:val="BodyText"/>
        <w:ind w:left="180" w:right="221"/>
      </w:pPr>
      <w:r>
        <w:t xml:space="preserve">The undersigned Prime Contractor/Prime Designer for the above-referenced project, hereby certifies to the Director of </w:t>
      </w:r>
      <w:r w:rsidR="002F2CEA">
        <w:t xml:space="preserve">Utah Valley University </w:t>
      </w:r>
      <w:r>
        <w:t>that the Prime Contractor/ Prime Designer that has a contract of</w:t>
      </w:r>
      <w:r w:rsidR="002F2CEA">
        <w:t xml:space="preserve"> </w:t>
      </w:r>
      <w:r>
        <w:t>$2,000,000 or greater at the original execution of the contract and any Subcontractor/Design Sub</w:t>
      </w:r>
      <w:r w:rsidR="002F2CEA">
        <w:t>-</w:t>
      </w:r>
      <w:r>
        <w:t>consultant that has a subcontract of $1,000,000 or greater at the original execution of the contract, will maintain an offer of qualified health insurance coverage for their respective employees and the employee’s dependents as required by Utah Code Annotated (UCA) 63A-5-205 and Utah Administrative Code Rule R23-23, throughout the contract period for the Project specified above.  In case of conflict between UCA 63A-5-205 and Rule R23-23, UCA 63A-5-205 shall control.</w:t>
      </w:r>
    </w:p>
    <w:p w:rsidR="00C63248" w:rsidRDefault="00C63248">
      <w:pPr>
        <w:pStyle w:val="BodyText"/>
        <w:spacing w:before="2"/>
      </w:pPr>
    </w:p>
    <w:p w:rsidR="00C63248" w:rsidRDefault="0027113B">
      <w:pPr>
        <w:pStyle w:val="BodyText"/>
        <w:spacing w:line="237" w:lineRule="auto"/>
        <w:ind w:left="180" w:right="499"/>
      </w:pPr>
      <w:r>
        <w:t>Attached is a written statement of actuarial equivalency, which is not more than one year old, from either an actuary selected by the contractor or the contractor’s insurer, or an underwriter who is responsible for developing the employer group’s premium rates. I will be responsible for collecting the statements as required by law from any of my subcontractors at any tier that must do so.</w:t>
      </w:r>
    </w:p>
    <w:p w:rsidR="00C63248" w:rsidRDefault="00C63248">
      <w:pPr>
        <w:pStyle w:val="BodyText"/>
      </w:pPr>
    </w:p>
    <w:p w:rsidR="00C63248" w:rsidRDefault="0027113B">
      <w:pPr>
        <w:pStyle w:val="BodyText"/>
        <w:ind w:left="180"/>
      </w:pPr>
      <w:r>
        <w:t>Penalties for noncompliance are provided in UCA 63A-5-205 and Utah Administrative Code Rule R23-23.</w:t>
      </w:r>
    </w:p>
    <w:p w:rsidR="00C63248" w:rsidRDefault="00C63248">
      <w:pPr>
        <w:pStyle w:val="BodyText"/>
      </w:pPr>
    </w:p>
    <w:p w:rsidR="00C63248" w:rsidRDefault="0027113B">
      <w:pPr>
        <w:pStyle w:val="BodyText"/>
        <w:ind w:left="180"/>
      </w:pPr>
      <w:r>
        <w:t xml:space="preserve">That the contractor’s compliance is subject to an audit by </w:t>
      </w:r>
      <w:r w:rsidR="002F2CEA">
        <w:t xml:space="preserve">Utah Valley University </w:t>
      </w:r>
      <w:r>
        <w:t>or the Office of the Legislative Auditor General.</w:t>
      </w:r>
    </w:p>
    <w:p w:rsidR="00C63248" w:rsidRDefault="00C63248">
      <w:pPr>
        <w:pStyle w:val="BodyText"/>
      </w:pPr>
    </w:p>
    <w:p w:rsidR="00C63248" w:rsidRDefault="0027113B">
      <w:pPr>
        <w:pStyle w:val="BodyText"/>
        <w:ind w:left="180" w:right="247"/>
      </w:pPr>
      <w:r>
        <w:t xml:space="preserve">Actuary equivalency must be in accordance with the commercially equivalent benchmark provided by the Department </w:t>
      </w:r>
      <w:r>
        <w:rPr>
          <w:spacing w:val="-4"/>
        </w:rPr>
        <w:t xml:space="preserve">of </w:t>
      </w:r>
      <w:r>
        <w:t xml:space="preserve">Health, the CHIP commercial benchmark for FY 2016, and posted on the following URL: </w:t>
      </w:r>
      <w:hyperlink r:id="rId6">
        <w:r>
          <w:rPr>
            <w:color w:val="0000FF"/>
            <w:u w:val="single" w:color="0000FF"/>
          </w:rPr>
          <w:t>http://www.health.utah.gov/chip/PDF/2016Benchmark.pdf</w:t>
        </w:r>
      </w:hyperlink>
      <w:r>
        <w:t xml:space="preserve">, in accordance with UCA 26-40-115(2), which is </w:t>
      </w:r>
      <w:r>
        <w:rPr>
          <w:spacing w:val="-3"/>
        </w:rPr>
        <w:t xml:space="preserve">also </w:t>
      </w:r>
      <w:r>
        <w:t xml:space="preserve">posted for convenience on </w:t>
      </w:r>
      <w:r w:rsidR="002F2CEA">
        <w:t>UTAH VALLEY UNIVERSITY</w:t>
      </w:r>
      <w:r>
        <w:t xml:space="preserve">’s website. </w:t>
      </w:r>
      <w:r>
        <w:rPr>
          <w:spacing w:val="-3"/>
        </w:rPr>
        <w:t xml:space="preserve">The </w:t>
      </w:r>
      <w:r>
        <w:rPr>
          <w:spacing w:val="-5"/>
        </w:rPr>
        <w:t xml:space="preserve">health </w:t>
      </w:r>
      <w:r>
        <w:rPr>
          <w:spacing w:val="-4"/>
        </w:rPr>
        <w:t xml:space="preserve">insurance </w:t>
      </w:r>
      <w:r>
        <w:t xml:space="preserve">must be </w:t>
      </w:r>
      <w:r>
        <w:rPr>
          <w:spacing w:val="-4"/>
        </w:rPr>
        <w:t xml:space="preserve">available </w:t>
      </w:r>
      <w:r>
        <w:t xml:space="preserve">upon </w:t>
      </w:r>
      <w:r>
        <w:rPr>
          <w:spacing w:val="-2"/>
        </w:rPr>
        <w:t xml:space="preserve">the </w:t>
      </w:r>
      <w:r>
        <w:rPr>
          <w:spacing w:val="-3"/>
        </w:rPr>
        <w:t xml:space="preserve">first day </w:t>
      </w:r>
      <w:r>
        <w:rPr>
          <w:spacing w:val="-4"/>
        </w:rPr>
        <w:t xml:space="preserve">of </w:t>
      </w:r>
      <w:r>
        <w:rPr>
          <w:spacing w:val="-2"/>
        </w:rPr>
        <w:t xml:space="preserve">the </w:t>
      </w:r>
      <w:r>
        <w:rPr>
          <w:spacing w:val="-5"/>
        </w:rPr>
        <w:t xml:space="preserve">calendar </w:t>
      </w:r>
      <w:r>
        <w:rPr>
          <w:spacing w:val="-3"/>
        </w:rPr>
        <w:t xml:space="preserve">month </w:t>
      </w:r>
      <w:r>
        <w:rPr>
          <w:spacing w:val="-4"/>
        </w:rPr>
        <w:t xml:space="preserve">following sixty </w:t>
      </w:r>
      <w:r>
        <w:t xml:space="preserve">(60) </w:t>
      </w:r>
      <w:r>
        <w:rPr>
          <w:spacing w:val="-5"/>
        </w:rPr>
        <w:t xml:space="preserve">days </w:t>
      </w:r>
      <w:r>
        <w:t xml:space="preserve">from </w:t>
      </w:r>
      <w:r>
        <w:rPr>
          <w:spacing w:val="-2"/>
        </w:rPr>
        <w:t xml:space="preserve">the </w:t>
      </w:r>
      <w:r>
        <w:rPr>
          <w:spacing w:val="-3"/>
        </w:rPr>
        <w:t xml:space="preserve">date </w:t>
      </w:r>
      <w:r>
        <w:rPr>
          <w:spacing w:val="-4"/>
        </w:rPr>
        <w:t xml:space="preserve">of </w:t>
      </w:r>
      <w:r>
        <w:rPr>
          <w:spacing w:val="-5"/>
        </w:rPr>
        <w:t>hire.</w:t>
      </w:r>
    </w:p>
    <w:p w:rsidR="00C63248" w:rsidRDefault="00C63248">
      <w:pPr>
        <w:pStyle w:val="BodyText"/>
        <w:spacing w:before="7"/>
        <w:rPr>
          <w:sz w:val="19"/>
        </w:rPr>
      </w:pPr>
    </w:p>
    <w:p w:rsidR="00C63248" w:rsidRDefault="0027113B">
      <w:pPr>
        <w:pStyle w:val="BodyText"/>
        <w:ind w:left="180"/>
      </w:pPr>
      <w:r>
        <w:rPr>
          <w:spacing w:val="-4"/>
        </w:rPr>
        <w:t xml:space="preserve">The </w:t>
      </w:r>
      <w:r>
        <w:rPr>
          <w:spacing w:val="-5"/>
        </w:rPr>
        <w:t xml:space="preserve">Supplemental </w:t>
      </w:r>
      <w:r>
        <w:rPr>
          <w:spacing w:val="-4"/>
        </w:rPr>
        <w:t xml:space="preserve">General Conditions </w:t>
      </w:r>
      <w:r>
        <w:rPr>
          <w:spacing w:val="-3"/>
        </w:rPr>
        <w:t xml:space="preserve">for </w:t>
      </w:r>
      <w:r>
        <w:rPr>
          <w:spacing w:val="-4"/>
        </w:rPr>
        <w:t xml:space="preserve">Health Insurance, posted </w:t>
      </w:r>
      <w:r>
        <w:t xml:space="preserve">on </w:t>
      </w:r>
      <w:r>
        <w:rPr>
          <w:spacing w:val="-2"/>
        </w:rPr>
        <w:t xml:space="preserve">the </w:t>
      </w:r>
      <w:r w:rsidR="002F2CEA">
        <w:rPr>
          <w:spacing w:val="-4"/>
        </w:rPr>
        <w:t>UTAH VALLEY UNIVERSITY</w:t>
      </w:r>
      <w:r>
        <w:rPr>
          <w:spacing w:val="-4"/>
        </w:rPr>
        <w:t xml:space="preserve"> website at </w:t>
      </w:r>
      <w:hyperlink r:id="rId7" w:history="1">
        <w:r w:rsidRPr="009A3BCC">
          <w:rPr>
            <w:rStyle w:val="Hyperlink"/>
            <w:spacing w:val="-4"/>
          </w:rPr>
          <w:t>https://www.uvu.edu/procurement/terms/index.html</w:t>
        </w:r>
      </w:hyperlink>
      <w:r>
        <w:rPr>
          <w:spacing w:val="-4"/>
        </w:rPr>
        <w:t xml:space="preserve"> </w:t>
      </w:r>
      <w:r w:rsidR="002F2CEA">
        <w:rPr>
          <w:spacing w:val="-4"/>
        </w:rPr>
        <w:t xml:space="preserve"> </w:t>
      </w:r>
      <w:r>
        <w:rPr>
          <w:spacing w:val="-4"/>
        </w:rPr>
        <w:t xml:space="preserve">are hereby incorporated </w:t>
      </w:r>
      <w:r w:rsidR="002F2CEA">
        <w:rPr>
          <w:spacing w:val="-4"/>
        </w:rPr>
        <w:t>by reference</w:t>
      </w:r>
      <w:r>
        <w:rPr>
          <w:spacing w:val="-4"/>
        </w:rPr>
        <w:t xml:space="preserve"> herein.</w:t>
      </w:r>
    </w:p>
    <w:p w:rsidR="00C63248" w:rsidRDefault="00C63248">
      <w:pPr>
        <w:pStyle w:val="BodyText"/>
        <w:spacing w:before="7"/>
        <w:rPr>
          <w:sz w:val="27"/>
        </w:rPr>
      </w:pPr>
    </w:p>
    <w:p w:rsidR="00C63248" w:rsidRDefault="0027113B">
      <w:pPr>
        <w:tabs>
          <w:tab w:val="left" w:pos="10923"/>
        </w:tabs>
        <w:ind w:left="180"/>
        <w:rPr>
          <w:sz w:val="24"/>
        </w:rPr>
      </w:pPr>
      <w:r>
        <w:rPr>
          <w:sz w:val="24"/>
        </w:rPr>
        <w:t>PRIME CONTRACTOR/PRIME DESIGN</w:t>
      </w:r>
      <w:r>
        <w:rPr>
          <w:spacing w:val="-11"/>
          <w:sz w:val="24"/>
        </w:rPr>
        <w:t xml:space="preserve"> </w:t>
      </w:r>
      <w:r>
        <w:rPr>
          <w:sz w:val="24"/>
        </w:rPr>
        <w:t xml:space="preserve">FIRM:  </w:t>
      </w:r>
      <w:r>
        <w:rPr>
          <w:w w:val="99"/>
          <w:sz w:val="24"/>
          <w:u w:val="single"/>
        </w:rPr>
        <w:t xml:space="preserve"> </w:t>
      </w:r>
      <w:r>
        <w:rPr>
          <w:sz w:val="24"/>
          <w:u w:val="single"/>
        </w:rPr>
        <w:tab/>
      </w:r>
    </w:p>
    <w:p w:rsidR="00C63248" w:rsidRDefault="00C63248">
      <w:pPr>
        <w:pStyle w:val="BodyText"/>
        <w:spacing w:before="1"/>
        <w:rPr>
          <w:sz w:val="13"/>
        </w:rPr>
      </w:pPr>
    </w:p>
    <w:p w:rsidR="00C63248" w:rsidRDefault="0027113B">
      <w:pPr>
        <w:pStyle w:val="BodyText"/>
        <w:tabs>
          <w:tab w:val="left" w:pos="4933"/>
          <w:tab w:val="left" w:pos="6939"/>
          <w:tab w:val="left" w:pos="7168"/>
          <w:tab w:val="left" w:pos="10760"/>
        </w:tabs>
        <w:spacing w:before="95"/>
        <w:ind w:left="180"/>
      </w:pPr>
      <w:r>
        <w:t>Authorized</w:t>
      </w:r>
      <w:r>
        <w:rPr>
          <w:spacing w:val="-2"/>
        </w:rPr>
        <w:t xml:space="preserve"> </w:t>
      </w:r>
      <w:r>
        <w:t>Signature:</w:t>
      </w:r>
      <w:r>
        <w:rPr>
          <w:u w:val="single"/>
        </w:rPr>
        <w:t xml:space="preserve"> </w:t>
      </w:r>
      <w:r>
        <w:rPr>
          <w:u w:val="single"/>
        </w:rPr>
        <w:tab/>
      </w:r>
      <w:r>
        <w:t>_</w:t>
      </w:r>
      <w:r>
        <w:rPr>
          <w:u w:val="single"/>
        </w:rPr>
        <w:t xml:space="preserve"> </w:t>
      </w:r>
      <w:r>
        <w:rPr>
          <w:u w:val="single"/>
        </w:rPr>
        <w:tab/>
      </w:r>
      <w:r>
        <w:tab/>
        <w:t>Title:</w:t>
      </w:r>
      <w:r>
        <w:rPr>
          <w:u w:val="single"/>
        </w:rPr>
        <w:t xml:space="preserve"> </w:t>
      </w:r>
      <w:r>
        <w:rPr>
          <w:u w:val="single"/>
        </w:rPr>
        <w:tab/>
      </w:r>
      <w:r>
        <w:t>_</w:t>
      </w:r>
    </w:p>
    <w:p w:rsidR="00C63248" w:rsidRDefault="00C63248">
      <w:pPr>
        <w:pStyle w:val="BodyText"/>
        <w:spacing w:before="8"/>
        <w:rPr>
          <w:sz w:val="11"/>
        </w:rPr>
      </w:pPr>
    </w:p>
    <w:p w:rsidR="00C63248" w:rsidRDefault="0027113B">
      <w:pPr>
        <w:pStyle w:val="BodyText"/>
        <w:tabs>
          <w:tab w:val="left" w:pos="6958"/>
          <w:tab w:val="left" w:pos="7187"/>
          <w:tab w:val="left" w:pos="10827"/>
        </w:tabs>
        <w:spacing w:before="95"/>
        <w:ind w:left="180"/>
      </w:pPr>
      <w:r>
        <w:rPr>
          <w:u w:val="single"/>
        </w:rPr>
        <w:t xml:space="preserve"> </w:t>
      </w:r>
      <w:r>
        <w:rPr>
          <w:u w:val="single"/>
        </w:rPr>
        <w:tab/>
      </w:r>
      <w:r>
        <w:tab/>
        <w:t>Date:</w:t>
      </w:r>
      <w:r>
        <w:rPr>
          <w:u w:val="single"/>
        </w:rPr>
        <w:t xml:space="preserve"> </w:t>
      </w:r>
      <w:r>
        <w:rPr>
          <w:u w:val="single"/>
        </w:rPr>
        <w:tab/>
      </w:r>
      <w:r>
        <w:t>_</w:t>
      </w:r>
    </w:p>
    <w:p w:rsidR="00C63248" w:rsidRDefault="0027113B">
      <w:pPr>
        <w:ind w:left="2460"/>
        <w:rPr>
          <w:sz w:val="18"/>
        </w:rPr>
      </w:pPr>
      <w:r>
        <w:rPr>
          <w:sz w:val="18"/>
        </w:rPr>
        <w:t>Please type/print name clearly</w:t>
      </w:r>
    </w:p>
    <w:p w:rsidR="00C63248" w:rsidRDefault="0027113B">
      <w:pPr>
        <w:ind w:left="180"/>
        <w:rPr>
          <w:b/>
          <w:sz w:val="20"/>
        </w:rPr>
      </w:pPr>
      <w:r>
        <w:rPr>
          <w:b/>
          <w:sz w:val="20"/>
        </w:rPr>
        <w:t>ATTACHMENT:   Written Statement of Actuarial Equivalency</w:t>
      </w:r>
    </w:p>
    <w:p w:rsidR="00C63248" w:rsidRDefault="00C63248">
      <w:pPr>
        <w:pStyle w:val="BodyText"/>
        <w:spacing w:before="4"/>
        <w:rPr>
          <w:b/>
          <w:sz w:val="18"/>
        </w:rPr>
      </w:pPr>
    </w:p>
    <w:p w:rsidR="00C63248" w:rsidRDefault="0027113B">
      <w:pPr>
        <w:spacing w:line="207" w:lineRule="exact"/>
        <w:ind w:left="180"/>
        <w:rPr>
          <w:b/>
          <w:i/>
          <w:sz w:val="18"/>
        </w:rPr>
      </w:pPr>
      <w:r>
        <w:rPr>
          <w:b/>
          <w:i/>
          <w:sz w:val="18"/>
        </w:rPr>
        <w:t>NOTE:</w:t>
      </w:r>
    </w:p>
    <w:p w:rsidR="00C63248" w:rsidRDefault="0027113B">
      <w:pPr>
        <w:spacing w:line="206" w:lineRule="exact"/>
        <w:ind w:left="180"/>
        <w:rPr>
          <w:sz w:val="18"/>
        </w:rPr>
      </w:pPr>
      <w:r>
        <w:rPr>
          <w:b/>
          <w:sz w:val="18"/>
        </w:rPr>
        <w:t xml:space="preserve">Applies to </w:t>
      </w:r>
      <w:r>
        <w:rPr>
          <w:sz w:val="18"/>
        </w:rPr>
        <w:t>a prime contractor (and design professional) if the prime contract is in the amount of $2,000,000 or greater; and</w:t>
      </w:r>
    </w:p>
    <w:p w:rsidR="00C63248" w:rsidRDefault="0027113B">
      <w:pPr>
        <w:tabs>
          <w:tab w:val="left" w:pos="631"/>
        </w:tabs>
        <w:spacing w:line="207" w:lineRule="exact"/>
        <w:ind w:left="180"/>
        <w:rPr>
          <w:sz w:val="18"/>
        </w:rPr>
      </w:pPr>
      <w:r>
        <w:rPr>
          <w:sz w:val="18"/>
        </w:rPr>
        <w:t>(ii)</w:t>
      </w:r>
      <w:r>
        <w:rPr>
          <w:sz w:val="18"/>
        </w:rPr>
        <w:tab/>
        <w:t xml:space="preserve">Applies to a subcontractor (and sub-consultant </w:t>
      </w:r>
      <w:r>
        <w:rPr>
          <w:spacing w:val="-3"/>
          <w:sz w:val="18"/>
        </w:rPr>
        <w:t xml:space="preserve">of </w:t>
      </w:r>
      <w:r>
        <w:rPr>
          <w:sz w:val="18"/>
        </w:rPr>
        <w:t xml:space="preserve">design professional) if the subcontract is in the </w:t>
      </w:r>
      <w:r>
        <w:rPr>
          <w:spacing w:val="-3"/>
          <w:sz w:val="18"/>
        </w:rPr>
        <w:t xml:space="preserve">amount of </w:t>
      </w:r>
      <w:r>
        <w:rPr>
          <w:sz w:val="18"/>
        </w:rPr>
        <w:t>$1,000,000 or</w:t>
      </w:r>
      <w:r>
        <w:rPr>
          <w:spacing w:val="20"/>
          <w:sz w:val="18"/>
        </w:rPr>
        <w:t xml:space="preserve"> </w:t>
      </w:r>
      <w:r>
        <w:rPr>
          <w:spacing w:val="-3"/>
          <w:sz w:val="18"/>
        </w:rPr>
        <w:t>greater.</w:t>
      </w:r>
    </w:p>
    <w:p w:rsidR="00C63248" w:rsidRDefault="00C63248">
      <w:pPr>
        <w:pStyle w:val="BodyText"/>
        <w:spacing w:before="9"/>
        <w:rPr>
          <w:sz w:val="15"/>
        </w:rPr>
      </w:pPr>
    </w:p>
    <w:p w:rsidR="00C63248" w:rsidRDefault="0027113B">
      <w:pPr>
        <w:ind w:left="180"/>
        <w:rPr>
          <w:b/>
          <w:sz w:val="18"/>
        </w:rPr>
      </w:pPr>
      <w:r>
        <w:rPr>
          <w:b/>
          <w:sz w:val="18"/>
        </w:rPr>
        <w:t>Does not apply:</w:t>
      </w:r>
    </w:p>
    <w:p w:rsidR="00C63248" w:rsidRDefault="0027113B">
      <w:pPr>
        <w:pStyle w:val="ListParagraph"/>
        <w:numPr>
          <w:ilvl w:val="0"/>
          <w:numId w:val="1"/>
        </w:numPr>
        <w:tabs>
          <w:tab w:val="left" w:pos="631"/>
          <w:tab w:val="left" w:pos="632"/>
        </w:tabs>
        <w:spacing w:before="4" w:line="207" w:lineRule="exact"/>
        <w:ind w:hanging="451"/>
        <w:rPr>
          <w:sz w:val="18"/>
        </w:rPr>
      </w:pPr>
      <w:r>
        <w:rPr>
          <w:sz w:val="18"/>
        </w:rPr>
        <w:t>if the application of this jeopardizes the receipt of federal</w:t>
      </w:r>
      <w:r>
        <w:rPr>
          <w:spacing w:val="-22"/>
          <w:sz w:val="18"/>
        </w:rPr>
        <w:t xml:space="preserve"> </w:t>
      </w:r>
      <w:r>
        <w:rPr>
          <w:sz w:val="18"/>
        </w:rPr>
        <w:t>funds;</w:t>
      </w:r>
    </w:p>
    <w:p w:rsidR="00C63248" w:rsidRDefault="0027113B">
      <w:pPr>
        <w:pStyle w:val="ListParagraph"/>
        <w:numPr>
          <w:ilvl w:val="0"/>
          <w:numId w:val="1"/>
        </w:numPr>
        <w:tabs>
          <w:tab w:val="left" w:pos="631"/>
          <w:tab w:val="left" w:pos="632"/>
        </w:tabs>
        <w:ind w:hanging="451"/>
        <w:rPr>
          <w:sz w:val="18"/>
        </w:rPr>
      </w:pPr>
      <w:r>
        <w:rPr>
          <w:sz w:val="18"/>
        </w:rPr>
        <w:t>if the contract is a sole source</w:t>
      </w:r>
      <w:r>
        <w:rPr>
          <w:spacing w:val="-12"/>
          <w:sz w:val="18"/>
        </w:rPr>
        <w:t xml:space="preserve"> </w:t>
      </w:r>
      <w:r>
        <w:rPr>
          <w:sz w:val="18"/>
        </w:rPr>
        <w:t>contract;</w:t>
      </w:r>
    </w:p>
    <w:p w:rsidR="00C63248" w:rsidRDefault="0027113B">
      <w:pPr>
        <w:pStyle w:val="ListParagraph"/>
        <w:numPr>
          <w:ilvl w:val="0"/>
          <w:numId w:val="1"/>
        </w:numPr>
        <w:tabs>
          <w:tab w:val="left" w:pos="631"/>
          <w:tab w:val="left" w:pos="632"/>
        </w:tabs>
        <w:ind w:hanging="451"/>
        <w:rPr>
          <w:sz w:val="18"/>
        </w:rPr>
      </w:pPr>
      <w:r>
        <w:rPr>
          <w:sz w:val="18"/>
        </w:rPr>
        <w:t xml:space="preserve">if the contract is an </w:t>
      </w:r>
      <w:r>
        <w:rPr>
          <w:spacing w:val="-2"/>
          <w:sz w:val="18"/>
        </w:rPr>
        <w:t xml:space="preserve">emergency </w:t>
      </w:r>
      <w:r>
        <w:rPr>
          <w:sz w:val="18"/>
        </w:rPr>
        <w:t>procurement;</w:t>
      </w:r>
      <w:r>
        <w:rPr>
          <w:spacing w:val="7"/>
          <w:sz w:val="18"/>
        </w:rPr>
        <w:t xml:space="preserve"> </w:t>
      </w:r>
      <w:r>
        <w:rPr>
          <w:sz w:val="18"/>
        </w:rPr>
        <w:t>or</w:t>
      </w:r>
    </w:p>
    <w:p w:rsidR="00C63248" w:rsidRDefault="0027113B">
      <w:pPr>
        <w:pStyle w:val="ListParagraph"/>
        <w:numPr>
          <w:ilvl w:val="0"/>
          <w:numId w:val="1"/>
        </w:numPr>
        <w:tabs>
          <w:tab w:val="left" w:pos="632"/>
        </w:tabs>
        <w:spacing w:line="240" w:lineRule="auto"/>
        <w:ind w:right="316" w:hanging="451"/>
        <w:rPr>
          <w:sz w:val="18"/>
        </w:rPr>
      </w:pPr>
      <w:r>
        <w:rPr>
          <w:sz w:val="18"/>
        </w:rPr>
        <w:t xml:space="preserve">a change order as defined in Section 63G-6a-103, </w:t>
      </w:r>
      <w:r>
        <w:rPr>
          <w:spacing w:val="-3"/>
          <w:sz w:val="18"/>
        </w:rPr>
        <w:t xml:space="preserve">or </w:t>
      </w:r>
      <w:r>
        <w:rPr>
          <w:sz w:val="18"/>
        </w:rPr>
        <w:t xml:space="preserve">a modification to a contract, when the contract does not meet the threshold required by Subsection (3) </w:t>
      </w:r>
      <w:r>
        <w:rPr>
          <w:spacing w:val="-3"/>
          <w:sz w:val="18"/>
        </w:rPr>
        <w:t xml:space="preserve">of </w:t>
      </w:r>
      <w:r>
        <w:rPr>
          <w:sz w:val="18"/>
        </w:rPr>
        <w:t>UCA 63A-5-205</w:t>
      </w:r>
      <w:r>
        <w:rPr>
          <w:spacing w:val="-9"/>
          <w:sz w:val="18"/>
        </w:rPr>
        <w:t xml:space="preserve"> </w:t>
      </w:r>
      <w:r>
        <w:rPr>
          <w:sz w:val="18"/>
        </w:rPr>
        <w:t>(a).</w:t>
      </w:r>
    </w:p>
    <w:p w:rsidR="00C63248" w:rsidRDefault="00C63248">
      <w:pPr>
        <w:pStyle w:val="BodyText"/>
        <w:spacing w:before="10"/>
        <w:rPr>
          <w:sz w:val="17"/>
        </w:rPr>
      </w:pPr>
    </w:p>
    <w:p w:rsidR="00C63248" w:rsidRDefault="0027113B">
      <w:pPr>
        <w:ind w:left="180"/>
        <w:rPr>
          <w:sz w:val="18"/>
        </w:rPr>
      </w:pPr>
      <w:r>
        <w:rPr>
          <w:b/>
          <w:sz w:val="18"/>
        </w:rPr>
        <w:t xml:space="preserve">INFRACTION NOTICE: </w:t>
      </w:r>
      <w:r>
        <w:rPr>
          <w:sz w:val="18"/>
        </w:rPr>
        <w:t>UCA 63A-5-205(5): A person who intentionally uses change order or contract modifications to circumvent the requirements of Subsection (3) of UCA 63A-5-205 is guilty of an infraction.</w:t>
      </w:r>
    </w:p>
    <w:sectPr w:rsidR="00C63248">
      <w:type w:val="continuous"/>
      <w:pgSz w:w="12240" w:h="15840"/>
      <w:pgMar w:top="280" w:right="54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6B04A5"/>
    <w:multiLevelType w:val="hybridMultilevel"/>
    <w:tmpl w:val="A08EDEC8"/>
    <w:lvl w:ilvl="0" w:tplc="2E4EAE1C">
      <w:start w:val="1"/>
      <w:numFmt w:val="lowerRoman"/>
      <w:lvlText w:val="(%1)"/>
      <w:lvlJc w:val="left"/>
      <w:pPr>
        <w:ind w:left="631" w:hanging="452"/>
        <w:jc w:val="left"/>
      </w:pPr>
      <w:rPr>
        <w:rFonts w:ascii="Arial" w:eastAsia="Arial" w:hAnsi="Arial" w:cs="Arial" w:hint="default"/>
        <w:spacing w:val="-3"/>
        <w:w w:val="101"/>
        <w:sz w:val="18"/>
        <w:szCs w:val="18"/>
      </w:rPr>
    </w:lvl>
    <w:lvl w:ilvl="1" w:tplc="1992703E">
      <w:numFmt w:val="bullet"/>
      <w:lvlText w:val="•"/>
      <w:lvlJc w:val="left"/>
      <w:pPr>
        <w:ind w:left="1692" w:hanging="452"/>
      </w:pPr>
      <w:rPr>
        <w:rFonts w:hint="default"/>
      </w:rPr>
    </w:lvl>
    <w:lvl w:ilvl="2" w:tplc="942E21B8">
      <w:numFmt w:val="bullet"/>
      <w:lvlText w:val="•"/>
      <w:lvlJc w:val="left"/>
      <w:pPr>
        <w:ind w:left="2744" w:hanging="452"/>
      </w:pPr>
      <w:rPr>
        <w:rFonts w:hint="default"/>
      </w:rPr>
    </w:lvl>
    <w:lvl w:ilvl="3" w:tplc="E2AA2D0A">
      <w:numFmt w:val="bullet"/>
      <w:lvlText w:val="•"/>
      <w:lvlJc w:val="left"/>
      <w:pPr>
        <w:ind w:left="3796" w:hanging="452"/>
      </w:pPr>
      <w:rPr>
        <w:rFonts w:hint="default"/>
      </w:rPr>
    </w:lvl>
    <w:lvl w:ilvl="4" w:tplc="5B4A9F86">
      <w:numFmt w:val="bullet"/>
      <w:lvlText w:val="•"/>
      <w:lvlJc w:val="left"/>
      <w:pPr>
        <w:ind w:left="4848" w:hanging="452"/>
      </w:pPr>
      <w:rPr>
        <w:rFonts w:hint="default"/>
      </w:rPr>
    </w:lvl>
    <w:lvl w:ilvl="5" w:tplc="5F828E12">
      <w:numFmt w:val="bullet"/>
      <w:lvlText w:val="•"/>
      <w:lvlJc w:val="left"/>
      <w:pPr>
        <w:ind w:left="5900" w:hanging="452"/>
      </w:pPr>
      <w:rPr>
        <w:rFonts w:hint="default"/>
      </w:rPr>
    </w:lvl>
    <w:lvl w:ilvl="6" w:tplc="B4E08C1A">
      <w:numFmt w:val="bullet"/>
      <w:lvlText w:val="•"/>
      <w:lvlJc w:val="left"/>
      <w:pPr>
        <w:ind w:left="6952" w:hanging="452"/>
      </w:pPr>
      <w:rPr>
        <w:rFonts w:hint="default"/>
      </w:rPr>
    </w:lvl>
    <w:lvl w:ilvl="7" w:tplc="4A60B59E">
      <w:numFmt w:val="bullet"/>
      <w:lvlText w:val="•"/>
      <w:lvlJc w:val="left"/>
      <w:pPr>
        <w:ind w:left="8004" w:hanging="452"/>
      </w:pPr>
      <w:rPr>
        <w:rFonts w:hint="default"/>
      </w:rPr>
    </w:lvl>
    <w:lvl w:ilvl="8" w:tplc="1ABE4806">
      <w:numFmt w:val="bullet"/>
      <w:lvlText w:val="•"/>
      <w:lvlJc w:val="left"/>
      <w:pPr>
        <w:ind w:left="9056" w:hanging="45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C63248"/>
    <w:rsid w:val="000B48B9"/>
    <w:rsid w:val="0027113B"/>
    <w:rsid w:val="002F2CEA"/>
    <w:rsid w:val="00C63248"/>
    <w:rsid w:val="00C92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960D0"/>
  <w15:docId w15:val="{479CCF80-CF69-4083-8B27-4771DE15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8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06" w:lineRule="exact"/>
      <w:ind w:left="631" w:hanging="451"/>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Hyperlink">
    <w:name w:val="Hyperlink"/>
    <w:basedOn w:val="DefaultParagraphFont"/>
    <w:uiPriority w:val="99"/>
    <w:unhideWhenUsed/>
    <w:rsid w:val="002711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u.edu/procurement/terms/index.html"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utah.gov/chip/PDF/2016Benchmark.pdf"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12239DDB4BD46BD37C90334679D57" ma:contentTypeVersion="17" ma:contentTypeDescription="Create a new document." ma:contentTypeScope="" ma:versionID="0e97e20ea4a04e6805cfbf5a7bd0d9b9">
  <xsd:schema xmlns:xsd="http://www.w3.org/2001/XMLSchema" xmlns:xs="http://www.w3.org/2001/XMLSchema" xmlns:p="http://schemas.microsoft.com/office/2006/metadata/properties" xmlns:ns1="http://schemas.microsoft.com/sharepoint/v3" xmlns:ns2="f92a0120-cb5f-46b0-9ad1-9c10a33454fd" xmlns:ns3="316a695d-6cee-42c2-8942-38255eab04ac" targetNamespace="http://schemas.microsoft.com/office/2006/metadata/properties" ma:root="true" ma:fieldsID="459b420f0e4ccaddbd1af73b7d3a7b77" ns1:_="" ns2:_="" ns3:_="">
    <xsd:import namespace="http://schemas.microsoft.com/sharepoint/v3"/>
    <xsd:import namespace="f92a0120-cb5f-46b0-9ad1-9c10a33454fd"/>
    <xsd:import namespace="316a695d-6cee-42c2-8942-38255eab04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2a0120-cb5f-46b0-9ad1-9c10a3345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159821-6d6e-49ec-801b-07117c1987d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a695d-6cee-42c2-8942-38255eab04a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97bb458-1c9a-418d-9a07-ba140ac5a4b1}" ma:internalName="TaxCatchAll" ma:showField="CatchAllData" ma:web="316a695d-6cee-42c2-8942-38255eab04a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6a695d-6cee-42c2-8942-38255eab04ac" xsi:nil="true"/>
    <_ip_UnifiedCompliancePolicyUIAction xmlns="http://schemas.microsoft.com/sharepoint/v3" xsi:nil="true"/>
    <_ip_UnifiedCompliancePolicyProperties xmlns="http://schemas.microsoft.com/sharepoint/v3" xsi:nil="true"/>
    <lcf76f155ced4ddcb4097134ff3c332f xmlns="f92a0120-cb5f-46b0-9ad1-9c10a33454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5F4B0F-22CB-41AA-B1B5-F0AD51C1F78D}"/>
</file>

<file path=customXml/itemProps2.xml><?xml version="1.0" encoding="utf-8"?>
<ds:datastoreItem xmlns:ds="http://schemas.openxmlformats.org/officeDocument/2006/customXml" ds:itemID="{B55CDB2F-E49D-449D-8DB5-2E9C0C88657E}"/>
</file>

<file path=customXml/itemProps3.xml><?xml version="1.0" encoding="utf-8"?>
<ds:datastoreItem xmlns:ds="http://schemas.openxmlformats.org/officeDocument/2006/customXml" ds:itemID="{0BB5AAB8-BDAA-465A-B422-D3C174A218C7}"/>
</file>

<file path=docProps/app.xml><?xml version="1.0" encoding="utf-8"?>
<Properties xmlns="http://schemas.openxmlformats.org/officeDocument/2006/extended-properties" xmlns:vt="http://schemas.openxmlformats.org/officeDocument/2006/docPropsVTypes">
  <Template>Normal</Template>
  <TotalTime>17</TotalTime>
  <Pages>1</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Microsoft Word - Health Insurance Certification Form 031716 .doc</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Health Insurance Certification Form 031716 .doc</dc:title>
  <cp:lastModifiedBy>Janeal Jacobs</cp:lastModifiedBy>
  <cp:revision>7</cp:revision>
  <dcterms:created xsi:type="dcterms:W3CDTF">2017-10-05T15:10:00Z</dcterms:created>
  <dcterms:modified xsi:type="dcterms:W3CDTF">2017-10-25T18:12:00Z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2016-04-27T00:00:00Z</vt:filetime>
  </property>
  <property fmtid="{D5CDD505-2E9C-101B-9397-08002B2CF9AE}" pid="3" name="LastSaved">
    <vt:filetime>2017-10-05T00:00:00Z</vt:filetime>
  </property>
  <property fmtid="{D5CDD505-2E9C-101B-9397-08002B2CF9AE}" pid="4" name="ContentTypeId">
    <vt:lpwstr>0x01010057112239DDB4BD46BD37C90334679D57</vt:lpwstr>
  </property>
</Properties>
</file>