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6A8573A" w14:textId="6094919D" w:rsidR="00013820" w:rsidRPr="0063220A" w:rsidRDefault="00013820" w:rsidP="00013820">
      <w:pPr>
        <w:jc w:val="center"/>
        <w:rPr>
          <w:rFonts w:ascii="Century Gothic" w:hAnsi="Century Gothic"/>
          <w:b/>
          <w:color w:val="000000" w:themeColor="text1"/>
          <w:sz w:val="32"/>
          <w:szCs w:val="32"/>
        </w:rPr>
      </w:pPr>
      <w:r w:rsidRPr="0063220A">
        <w:rPr>
          <w:rFonts w:ascii="Century Gothic" w:hAnsi="Century Gothic"/>
          <w:b/>
          <w:noProof/>
          <w:color w:val="404040" w:themeColor="text1" w:themeTint="BF"/>
          <w:sz w:val="32"/>
          <w:szCs w:val="32"/>
        </w:rPr>
        <w:drawing>
          <wp:anchor distT="0" distB="0" distL="114300" distR="114300" simplePos="0" relativeHeight="251662336" behindDoc="0" locked="0" layoutInCell="1" allowOverlap="1" wp14:anchorId="522A70E7" wp14:editId="594F3F1E">
            <wp:simplePos x="0" y="0"/>
            <wp:positionH relativeFrom="column">
              <wp:posOffset>5194557</wp:posOffset>
            </wp:positionH>
            <wp:positionV relativeFrom="paragraph">
              <wp:posOffset>-116732</wp:posOffset>
            </wp:positionV>
            <wp:extent cx="713232" cy="612648"/>
            <wp:effectExtent l="0" t="0" r="0" b="0"/>
            <wp:wrapNone/>
            <wp:docPr id="4" name="Picture 4" descr="../../Artwork/UVU%20Logos%20and%20Seal%202016/UVU_square74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rtwork/UVU%20Logos%20and%20Seal%202016/UVU_square748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232" cy="6126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07FE" w:rsidRPr="0063220A">
        <w:rPr>
          <w:rFonts w:ascii="Century Gothic" w:hAnsi="Century Gothic"/>
          <w:b/>
          <w:noProof/>
          <w:color w:val="404040" w:themeColor="text1" w:themeTint="BF"/>
          <w:sz w:val="32"/>
          <w:szCs w:val="32"/>
        </w:rPr>
        <w:drawing>
          <wp:anchor distT="0" distB="0" distL="114300" distR="114300" simplePos="0" relativeHeight="251659264" behindDoc="0" locked="0" layoutInCell="1" allowOverlap="1" wp14:anchorId="34E8FAD5" wp14:editId="41FABFD1">
            <wp:simplePos x="0" y="0"/>
            <wp:positionH relativeFrom="column">
              <wp:posOffset>0</wp:posOffset>
            </wp:positionH>
            <wp:positionV relativeFrom="paragraph">
              <wp:posOffset>-104775</wp:posOffset>
            </wp:positionV>
            <wp:extent cx="1593215" cy="45720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HE-NoBkground.png"/>
                    <pic:cNvPicPr/>
                  </pic:nvPicPr>
                  <pic:blipFill rotWithShape="1">
                    <a:blip r:embed="rId9" cstate="print">
                      <a:duotone>
                        <a:prstClr val="black"/>
                        <a:schemeClr val="tx2">
                          <a:tint val="45000"/>
                          <a:satMod val="400000"/>
                        </a:schemeClr>
                      </a:duotone>
                      <a:extLst>
                        <a:ext uri="{28A0092B-C50C-407E-A947-70E740481C1C}">
                          <a14:useLocalDpi xmlns:a14="http://schemas.microsoft.com/office/drawing/2010/main" val="0"/>
                        </a:ext>
                      </a:extLst>
                    </a:blip>
                    <a:srcRect b="22571"/>
                    <a:stretch/>
                  </pic:blipFill>
                  <pic:spPr bwMode="auto">
                    <a:xfrm>
                      <a:off x="0" y="0"/>
                      <a:ext cx="1593215" cy="45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5B64" w:rsidRPr="0063220A">
        <w:rPr>
          <w:rFonts w:ascii="Century Gothic" w:hAnsi="Century Gothic"/>
          <w:b/>
          <w:color w:val="000000" w:themeColor="text1"/>
          <w:sz w:val="32"/>
          <w:szCs w:val="32"/>
        </w:rPr>
        <w:t>20</w:t>
      </w:r>
      <w:r w:rsidR="003807FE" w:rsidRPr="0063220A">
        <w:rPr>
          <w:rFonts w:ascii="Century Gothic" w:hAnsi="Century Gothic"/>
          <w:b/>
          <w:color w:val="000000" w:themeColor="text1"/>
          <w:sz w:val="32"/>
          <w:szCs w:val="32"/>
        </w:rPr>
        <w:t>17</w:t>
      </w:r>
      <w:r w:rsidR="00823D42" w:rsidRPr="0063220A">
        <w:rPr>
          <w:rFonts w:ascii="Century Gothic" w:hAnsi="Century Gothic"/>
          <w:b/>
          <w:color w:val="000000" w:themeColor="text1"/>
          <w:sz w:val="32"/>
          <w:szCs w:val="32"/>
        </w:rPr>
        <w:t xml:space="preserve"> Legislative</w:t>
      </w:r>
    </w:p>
    <w:p w14:paraId="4C3CD728" w14:textId="0676AFBA" w:rsidR="00823D42" w:rsidRPr="0063220A" w:rsidRDefault="00823D42" w:rsidP="00013820">
      <w:pPr>
        <w:jc w:val="center"/>
        <w:rPr>
          <w:rFonts w:ascii="Century Gothic" w:hAnsi="Century Gothic"/>
          <w:b/>
          <w:color w:val="000000" w:themeColor="text1"/>
          <w:sz w:val="32"/>
          <w:szCs w:val="32"/>
        </w:rPr>
      </w:pPr>
      <w:r w:rsidRPr="0063220A">
        <w:rPr>
          <w:rFonts w:ascii="Century Gothic" w:hAnsi="Century Gothic"/>
          <w:b/>
          <w:color w:val="000000" w:themeColor="text1"/>
          <w:sz w:val="32"/>
          <w:szCs w:val="32"/>
        </w:rPr>
        <w:t>Session</w:t>
      </w:r>
      <w:r w:rsidR="00013820" w:rsidRPr="0063220A">
        <w:rPr>
          <w:rFonts w:ascii="Century Gothic" w:hAnsi="Century Gothic"/>
          <w:b/>
          <w:color w:val="000000" w:themeColor="text1"/>
          <w:sz w:val="32"/>
          <w:szCs w:val="32"/>
        </w:rPr>
        <w:t xml:space="preserve"> </w:t>
      </w:r>
      <w:r w:rsidR="003807FE" w:rsidRPr="0063220A">
        <w:rPr>
          <w:rFonts w:ascii="Century Gothic" w:hAnsi="Century Gothic"/>
          <w:b/>
          <w:color w:val="000000" w:themeColor="text1"/>
          <w:sz w:val="32"/>
          <w:szCs w:val="32"/>
        </w:rPr>
        <w:t>Summary</w:t>
      </w:r>
    </w:p>
    <w:p w14:paraId="682B6D6E" w14:textId="407E3874" w:rsidR="003807FE" w:rsidRPr="007762E3" w:rsidRDefault="003807FE" w:rsidP="003807FE">
      <w:pPr>
        <w:rPr>
          <w:rFonts w:ascii="Century Gothic" w:hAnsi="Century Gothic"/>
        </w:rPr>
      </w:pPr>
      <w:r>
        <w:rPr>
          <w:rFonts w:ascii="Century Gothic" w:hAnsi="Century Gothic"/>
          <w:noProof/>
        </w:rPr>
        <mc:AlternateContent>
          <mc:Choice Requires="wps">
            <w:drawing>
              <wp:anchor distT="0" distB="0" distL="114300" distR="114300" simplePos="0" relativeHeight="251660288" behindDoc="0" locked="0" layoutInCell="1" allowOverlap="1" wp14:anchorId="30FE1D8E" wp14:editId="3B2DCE2F">
                <wp:simplePos x="0" y="0"/>
                <wp:positionH relativeFrom="column">
                  <wp:posOffset>-76893</wp:posOffset>
                </wp:positionH>
                <wp:positionV relativeFrom="paragraph">
                  <wp:posOffset>154594</wp:posOffset>
                </wp:positionV>
                <wp:extent cx="6411191" cy="0"/>
                <wp:effectExtent l="0" t="0" r="15240" b="25400"/>
                <wp:wrapNone/>
                <wp:docPr id="2" name="Straight Connector 2"/>
                <wp:cNvGraphicFramePr/>
                <a:graphic xmlns:a="http://schemas.openxmlformats.org/drawingml/2006/main">
                  <a:graphicData uri="http://schemas.microsoft.com/office/word/2010/wordprocessingShape">
                    <wps:wsp>
                      <wps:cNvCnPr/>
                      <wps:spPr>
                        <a:xfrm>
                          <a:off x="0" y="0"/>
                          <a:ext cx="64111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A13AC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12.15pt" to="498.75pt,12.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" strokecolor="black [3200]" strokeweight=".5pt">
                <v:stroke joinstyle="miter"/>
              </v:line>
            </w:pict>
          </mc:Fallback>
        </mc:AlternateContent>
      </w:r>
    </w:p>
    <w:p w14:paraId="4EC216F0" w14:textId="274EE242" w:rsidR="00823D42" w:rsidRPr="0012553C" w:rsidRDefault="00823D42" w:rsidP="00823D42">
      <w:pPr>
        <w:shd w:val="clear" w:color="auto" w:fill="FFFFFF"/>
        <w:spacing w:before="240" w:after="240"/>
        <w:outlineLvl w:val="2"/>
        <w:rPr>
          <w:rFonts w:ascii="Century Gothic" w:eastAsia="Times New Roman" w:hAnsi="Century Gothic" w:cs="Times New Roman"/>
          <w:color w:val="333333"/>
          <w:sz w:val="26"/>
          <w:szCs w:val="26"/>
        </w:rPr>
      </w:pPr>
      <w:r w:rsidRPr="0012553C">
        <w:rPr>
          <w:rFonts w:ascii="Century Gothic" w:eastAsia="Times New Roman" w:hAnsi="Century Gothic" w:cs="Times New Roman"/>
          <w:b/>
          <w:bCs/>
          <w:color w:val="333333"/>
          <w:sz w:val="26"/>
          <w:szCs w:val="26"/>
        </w:rPr>
        <w:t xml:space="preserve">2017-2018 </w:t>
      </w:r>
      <w:r w:rsidR="0016603D">
        <w:rPr>
          <w:rFonts w:ascii="Century Gothic" w:eastAsia="Times New Roman" w:hAnsi="Century Gothic" w:cs="Times New Roman"/>
          <w:b/>
          <w:bCs/>
          <w:color w:val="333333"/>
          <w:sz w:val="26"/>
          <w:szCs w:val="26"/>
        </w:rPr>
        <w:t xml:space="preserve">Higher Education </w:t>
      </w:r>
      <w:r w:rsidRPr="0012553C">
        <w:rPr>
          <w:rFonts w:ascii="Century Gothic" w:eastAsia="Times New Roman" w:hAnsi="Century Gothic" w:cs="Times New Roman"/>
          <w:b/>
          <w:bCs/>
          <w:color w:val="333333"/>
          <w:sz w:val="26"/>
          <w:szCs w:val="26"/>
        </w:rPr>
        <w:t>Budget</w:t>
      </w:r>
      <w:r w:rsidR="0016603D">
        <w:rPr>
          <w:rFonts w:ascii="Century Gothic" w:eastAsia="Times New Roman" w:hAnsi="Century Gothic" w:cs="Times New Roman"/>
          <w:b/>
          <w:bCs/>
          <w:color w:val="333333"/>
          <w:sz w:val="26"/>
          <w:szCs w:val="26"/>
        </w:rPr>
        <w:t xml:space="preserve"> Highlights</w:t>
      </w:r>
    </w:p>
    <w:p w14:paraId="482E71A9" w14:textId="77777777" w:rsidR="00823D42" w:rsidRPr="0012553C" w:rsidRDefault="00823D42" w:rsidP="00823D42">
      <w:pPr>
        <w:numPr>
          <w:ilvl w:val="0"/>
          <w:numId w:val="5"/>
        </w:numPr>
        <w:shd w:val="clear" w:color="auto" w:fill="FFFFFF"/>
        <w:spacing w:line="240" w:lineRule="auto"/>
        <w:ind w:left="480" w:right="240"/>
        <w:rPr>
          <w:rFonts w:ascii="Century Gothic" w:eastAsia="Times New Roman" w:hAnsi="Century Gothic" w:cs="Times New Roman"/>
          <w:color w:val="000000" w:themeColor="text1"/>
        </w:rPr>
      </w:pPr>
      <w:r w:rsidRPr="0012553C">
        <w:rPr>
          <w:rFonts w:ascii="Century Gothic" w:eastAsia="Times New Roman" w:hAnsi="Century Gothic" w:cs="Times New Roman"/>
          <w:b/>
          <w:bCs/>
          <w:color w:val="000000" w:themeColor="text1"/>
        </w:rPr>
        <w:t>Compensation:</w:t>
      </w:r>
      <w:r w:rsidRPr="0012553C">
        <w:rPr>
          <w:rFonts w:ascii="Century Gothic" w:eastAsia="Times New Roman" w:hAnsi="Century Gothic" w:cs="Times New Roman"/>
          <w:color w:val="000000" w:themeColor="text1"/>
        </w:rPr>
        <w:t> 2% labor market adjustment increase (plus funding for health insurance rate increases), with the ratio of funding at 75% from state funds and 25% of tuition funds.</w:t>
      </w:r>
    </w:p>
    <w:p w14:paraId="38CB31B1" w14:textId="77777777" w:rsidR="00823D42" w:rsidRPr="0012553C" w:rsidRDefault="00823D42" w:rsidP="00823D42">
      <w:pPr>
        <w:numPr>
          <w:ilvl w:val="0"/>
          <w:numId w:val="5"/>
        </w:numPr>
        <w:shd w:val="clear" w:color="auto" w:fill="FFFFFF"/>
        <w:spacing w:line="240" w:lineRule="auto"/>
        <w:ind w:left="480" w:right="240"/>
        <w:rPr>
          <w:rFonts w:ascii="Century Gothic" w:eastAsia="Times New Roman" w:hAnsi="Century Gothic" w:cs="Times New Roman"/>
          <w:color w:val="000000" w:themeColor="text1"/>
        </w:rPr>
      </w:pPr>
      <w:r w:rsidRPr="0012553C">
        <w:rPr>
          <w:rFonts w:ascii="Century Gothic" w:eastAsia="Times New Roman" w:hAnsi="Century Gothic" w:cs="Times New Roman"/>
          <w:b/>
          <w:bCs/>
          <w:color w:val="000000" w:themeColor="text1"/>
        </w:rPr>
        <w:t>Student Enrollment Growth:</w:t>
      </w:r>
      <w:r w:rsidRPr="0012553C">
        <w:rPr>
          <w:rFonts w:ascii="Century Gothic" w:eastAsia="Times New Roman" w:hAnsi="Century Gothic" w:cs="Times New Roman"/>
          <w:color w:val="000000" w:themeColor="text1"/>
        </w:rPr>
        <w:t> $3.5 million ongoing for new student growth for the current year. This is the first time in a number of years that student growth in higher education has been explicitly funded (with the exception of </w:t>
      </w:r>
      <w:hyperlink r:id="rId10" w:history="1">
        <w:r w:rsidRPr="0012553C">
          <w:rPr>
            <w:rFonts w:ascii="Century Gothic" w:eastAsia="Times New Roman" w:hAnsi="Century Gothic" w:cs="Times New Roman"/>
            <w:color w:val="0078AD"/>
            <w:u w:val="single"/>
          </w:rPr>
          <w:t>Acute Equity</w:t>
        </w:r>
      </w:hyperlink>
      <w:r w:rsidRPr="0012553C">
        <w:rPr>
          <w:rFonts w:ascii="Century Gothic" w:eastAsia="Times New Roman" w:hAnsi="Century Gothic" w:cs="Times New Roman"/>
          <w:color w:val="666666"/>
        </w:rPr>
        <w:t> </w:t>
      </w:r>
      <w:r w:rsidRPr="0012553C">
        <w:rPr>
          <w:rFonts w:ascii="Century Gothic" w:eastAsia="Times New Roman" w:hAnsi="Century Gothic" w:cs="Times New Roman"/>
          <w:color w:val="000000" w:themeColor="text1"/>
        </w:rPr>
        <w:t>funding appropriated by the Legislature in 2014).</w:t>
      </w:r>
      <w:bookmarkStart w:id="0" w:name="_GoBack"/>
      <w:bookmarkEnd w:id="0"/>
    </w:p>
    <w:p w14:paraId="663E3036" w14:textId="6DDED4EE" w:rsidR="00823D42" w:rsidRPr="0012553C" w:rsidRDefault="00823D42" w:rsidP="00823D42">
      <w:pPr>
        <w:numPr>
          <w:ilvl w:val="0"/>
          <w:numId w:val="5"/>
        </w:numPr>
        <w:shd w:val="clear" w:color="auto" w:fill="FFFFFF"/>
        <w:spacing w:line="240" w:lineRule="auto"/>
        <w:ind w:left="480" w:right="240"/>
        <w:rPr>
          <w:rFonts w:ascii="Century Gothic" w:eastAsia="Times New Roman" w:hAnsi="Century Gothic" w:cs="Times New Roman"/>
          <w:color w:val="000000" w:themeColor="text1"/>
        </w:rPr>
      </w:pPr>
      <w:r w:rsidRPr="0012553C">
        <w:rPr>
          <w:rFonts w:ascii="Century Gothic" w:eastAsia="Times New Roman" w:hAnsi="Century Gothic" w:cs="Times New Roman"/>
          <w:b/>
          <w:bCs/>
          <w:color w:val="000000" w:themeColor="text1"/>
        </w:rPr>
        <w:t>Performance Funding: </w:t>
      </w:r>
      <w:r w:rsidRPr="0012553C">
        <w:rPr>
          <w:rFonts w:ascii="Century Gothic" w:eastAsia="Times New Roman" w:hAnsi="Century Gothic" w:cs="Times New Roman"/>
          <w:color w:val="000000" w:themeColor="text1"/>
        </w:rPr>
        <w:t xml:space="preserve">$6.5 million </w:t>
      </w:r>
      <w:r w:rsidR="00F025C1">
        <w:rPr>
          <w:rFonts w:ascii="Century Gothic" w:eastAsia="Times New Roman" w:hAnsi="Century Gothic" w:cs="Times New Roman"/>
          <w:color w:val="000000" w:themeColor="text1"/>
        </w:rPr>
        <w:t>one-time (w/</w:t>
      </w:r>
      <w:r w:rsidR="0008722D">
        <w:rPr>
          <w:rFonts w:ascii="Century Gothic" w:eastAsia="Times New Roman" w:hAnsi="Century Gothic" w:cs="Times New Roman"/>
          <w:color w:val="000000" w:themeColor="text1"/>
        </w:rPr>
        <w:t>ongoing funding stream)</w:t>
      </w:r>
      <w:r w:rsidRPr="0012553C">
        <w:rPr>
          <w:rFonts w:ascii="Century Gothic" w:eastAsia="Times New Roman" w:hAnsi="Century Gothic" w:cs="Times New Roman"/>
          <w:color w:val="000000" w:themeColor="text1"/>
        </w:rPr>
        <w:t xml:space="preserve"> for performance funding. This is the initial funding tied to</w:t>
      </w:r>
      <w:r w:rsidRPr="0012553C">
        <w:rPr>
          <w:rFonts w:ascii="Century Gothic" w:eastAsia="Times New Roman" w:hAnsi="Century Gothic" w:cs="Times New Roman"/>
          <w:color w:val="666666"/>
        </w:rPr>
        <w:t> </w:t>
      </w:r>
      <w:hyperlink r:id="rId11" w:history="1">
        <w:r w:rsidRPr="0012553C">
          <w:rPr>
            <w:rFonts w:ascii="Century Gothic" w:eastAsia="Times New Roman" w:hAnsi="Century Gothic" w:cs="Times New Roman"/>
            <w:color w:val="0078AD"/>
            <w:u w:val="single"/>
          </w:rPr>
          <w:t>SB117</w:t>
        </w:r>
      </w:hyperlink>
      <w:r w:rsidRPr="0012553C">
        <w:rPr>
          <w:rFonts w:ascii="Century Gothic" w:eastAsia="Times New Roman" w:hAnsi="Century Gothic" w:cs="Times New Roman"/>
          <w:color w:val="666666"/>
        </w:rPr>
        <w:t> </w:t>
      </w:r>
      <w:r w:rsidRPr="0012553C">
        <w:rPr>
          <w:rFonts w:ascii="Century Gothic" w:eastAsia="Times New Roman" w:hAnsi="Century Gothic" w:cs="Times New Roman"/>
          <w:color w:val="000000" w:themeColor="text1"/>
        </w:rPr>
        <w:t>that will codify the performance funding model of the Board of Regents, which has been in place for four years.</w:t>
      </w:r>
    </w:p>
    <w:p w14:paraId="7ACC6A72" w14:textId="77777777" w:rsidR="00823D42" w:rsidRPr="0012553C" w:rsidRDefault="00823D42" w:rsidP="00823D42">
      <w:pPr>
        <w:numPr>
          <w:ilvl w:val="0"/>
          <w:numId w:val="5"/>
        </w:numPr>
        <w:shd w:val="clear" w:color="auto" w:fill="FFFFFF"/>
        <w:spacing w:line="240" w:lineRule="auto"/>
        <w:ind w:left="480" w:right="240"/>
        <w:rPr>
          <w:rFonts w:ascii="Century Gothic" w:eastAsia="Times New Roman" w:hAnsi="Century Gothic" w:cs="Times New Roman"/>
          <w:color w:val="000000" w:themeColor="text1"/>
        </w:rPr>
      </w:pPr>
      <w:r w:rsidRPr="0012553C">
        <w:rPr>
          <w:rFonts w:ascii="Century Gothic" w:eastAsia="Times New Roman" w:hAnsi="Century Gothic" w:cs="Times New Roman"/>
          <w:b/>
          <w:bCs/>
          <w:color w:val="000000" w:themeColor="text1"/>
        </w:rPr>
        <w:t>Regents’ Scholarship</w:t>
      </w:r>
      <w:r w:rsidRPr="0012553C">
        <w:rPr>
          <w:rFonts w:ascii="Century Gothic" w:eastAsia="Times New Roman" w:hAnsi="Century Gothic" w:cs="Times New Roman"/>
          <w:color w:val="000000" w:themeColor="text1"/>
        </w:rPr>
        <w:t>: $8 million ongoing for growth in the Regents’ Scholarship. For several years, growth in the program has been funded on one-time funds. This ongoing funding, along with the changes being proposed in </w:t>
      </w:r>
      <w:hyperlink r:id="rId12" w:history="1">
        <w:r w:rsidRPr="0012553C">
          <w:rPr>
            <w:rFonts w:ascii="Century Gothic" w:eastAsia="Times New Roman" w:hAnsi="Century Gothic" w:cs="Times New Roman"/>
            <w:color w:val="0078AD"/>
            <w:u w:val="single"/>
          </w:rPr>
          <w:t>SB256</w:t>
        </w:r>
      </w:hyperlink>
      <w:r w:rsidRPr="0012553C">
        <w:rPr>
          <w:rFonts w:ascii="Century Gothic" w:eastAsia="Times New Roman" w:hAnsi="Century Gothic" w:cs="Times New Roman"/>
          <w:color w:val="000000" w:themeColor="text1"/>
        </w:rPr>
        <w:t>, will help ensure long-term sustainability.</w:t>
      </w:r>
    </w:p>
    <w:p w14:paraId="0F1C87A9" w14:textId="77777777" w:rsidR="00823D42" w:rsidRPr="0012553C" w:rsidRDefault="00823D42" w:rsidP="00823D42">
      <w:pPr>
        <w:numPr>
          <w:ilvl w:val="0"/>
          <w:numId w:val="5"/>
        </w:numPr>
        <w:shd w:val="clear" w:color="auto" w:fill="FFFFFF"/>
        <w:spacing w:line="240" w:lineRule="auto"/>
        <w:ind w:left="480" w:right="240"/>
        <w:rPr>
          <w:rFonts w:ascii="Century Gothic" w:eastAsia="Times New Roman" w:hAnsi="Century Gothic" w:cs="Times New Roman"/>
          <w:color w:val="000000" w:themeColor="text1"/>
        </w:rPr>
      </w:pPr>
      <w:r w:rsidRPr="0012553C">
        <w:rPr>
          <w:rFonts w:ascii="Century Gothic" w:eastAsia="Times New Roman" w:hAnsi="Century Gothic" w:cs="Times New Roman"/>
          <w:b/>
          <w:bCs/>
          <w:color w:val="000000" w:themeColor="text1"/>
        </w:rPr>
        <w:t>2% Base Budget Replacement</w:t>
      </w:r>
      <w:r w:rsidRPr="0012553C">
        <w:rPr>
          <w:rFonts w:ascii="Century Gothic" w:eastAsia="Times New Roman" w:hAnsi="Century Gothic" w:cs="Times New Roman"/>
          <w:color w:val="000000" w:themeColor="text1"/>
        </w:rPr>
        <w:t>: Earlier in the 2017 session, the Legislature approved a 2% base budget cut to higher education – a cut of $19.2 million. Last week’s approval restores those cuts back to the higher education base budget.</w:t>
      </w:r>
    </w:p>
    <w:p w14:paraId="548D15C4" w14:textId="1F4FC636" w:rsidR="00823D42" w:rsidRPr="0012553C" w:rsidRDefault="0016603D" w:rsidP="00823D42">
      <w:pPr>
        <w:shd w:val="clear" w:color="auto" w:fill="FFFFFF"/>
        <w:spacing w:before="240" w:after="240"/>
        <w:outlineLvl w:val="2"/>
        <w:rPr>
          <w:rFonts w:ascii="Century Gothic" w:eastAsia="Times New Roman" w:hAnsi="Century Gothic" w:cs="Times New Roman"/>
          <w:color w:val="000000" w:themeColor="text1"/>
          <w:sz w:val="20"/>
          <w:szCs w:val="20"/>
        </w:rPr>
      </w:pPr>
      <w:r>
        <w:rPr>
          <w:rFonts w:ascii="Century Gothic" w:hAnsi="Century Gothic"/>
          <w:noProof/>
        </w:rPr>
        <mc:AlternateContent>
          <mc:Choice Requires="wps">
            <w:drawing>
              <wp:anchor distT="0" distB="0" distL="114300" distR="114300" simplePos="0" relativeHeight="251664384" behindDoc="0" locked="0" layoutInCell="1" allowOverlap="1" wp14:anchorId="5273CA67" wp14:editId="46388A9D">
                <wp:simplePos x="0" y="0"/>
                <wp:positionH relativeFrom="column">
                  <wp:posOffset>-66502</wp:posOffset>
                </wp:positionH>
                <wp:positionV relativeFrom="paragraph">
                  <wp:posOffset>232930</wp:posOffset>
                </wp:positionV>
                <wp:extent cx="6411191" cy="0"/>
                <wp:effectExtent l="0" t="0" r="15240" b="25400"/>
                <wp:wrapNone/>
                <wp:docPr id="5" name="Straight Connector 5"/>
                <wp:cNvGraphicFramePr/>
                <a:graphic xmlns:a="http://schemas.openxmlformats.org/drawingml/2006/main">
                  <a:graphicData uri="http://schemas.microsoft.com/office/word/2010/wordprocessingShape">
                    <wps:wsp>
                      <wps:cNvCnPr/>
                      <wps:spPr>
                        <a:xfrm>
                          <a:off x="0" y="0"/>
                          <a:ext cx="64111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5223AB"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8.35pt" to="499.55pt,1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" strokecolor="black [3200]" strokeweight=".5pt">
                <v:stroke joinstyle="miter"/>
              </v:line>
            </w:pict>
          </mc:Fallback>
        </mc:AlternateContent>
      </w:r>
    </w:p>
    <w:p w14:paraId="4388E2F5" w14:textId="77777777" w:rsidR="00823D42" w:rsidRPr="0012553C" w:rsidRDefault="00823D42" w:rsidP="00823D42">
      <w:pPr>
        <w:shd w:val="clear" w:color="auto" w:fill="FFFFFF"/>
        <w:spacing w:before="240" w:after="240"/>
        <w:outlineLvl w:val="2"/>
        <w:rPr>
          <w:rFonts w:ascii="Century Gothic" w:eastAsia="Times New Roman" w:hAnsi="Century Gothic" w:cs="Times New Roman"/>
          <w:color w:val="000000" w:themeColor="text1"/>
          <w:sz w:val="26"/>
          <w:szCs w:val="26"/>
        </w:rPr>
      </w:pPr>
      <w:r w:rsidRPr="0012553C">
        <w:rPr>
          <w:rFonts w:ascii="Century Gothic" w:eastAsia="Times New Roman" w:hAnsi="Century Gothic" w:cs="Times New Roman"/>
          <w:b/>
          <w:bCs/>
          <w:color w:val="000000" w:themeColor="text1"/>
          <w:sz w:val="26"/>
          <w:szCs w:val="26"/>
        </w:rPr>
        <w:t>2017-2018 Capital Development</w:t>
      </w:r>
    </w:p>
    <w:p w14:paraId="7577BA46" w14:textId="77777777" w:rsidR="00823D42" w:rsidRPr="0012553C" w:rsidRDefault="00823D42" w:rsidP="00823D42">
      <w:pPr>
        <w:shd w:val="clear" w:color="auto" w:fill="FFFFFF"/>
        <w:spacing w:after="240"/>
        <w:rPr>
          <w:rFonts w:ascii="Century Gothic" w:hAnsi="Century Gothic" w:cs="Times New Roman"/>
          <w:color w:val="000000" w:themeColor="text1"/>
        </w:rPr>
      </w:pPr>
      <w:r w:rsidRPr="0012553C">
        <w:rPr>
          <w:rFonts w:ascii="Century Gothic" w:hAnsi="Century Gothic" w:cs="Times New Roman"/>
          <w:color w:val="000000" w:themeColor="text1"/>
        </w:rPr>
        <w:t xml:space="preserve">The top three Regents’ capital development priorities were approved: </w:t>
      </w:r>
      <w:proofErr w:type="gramStart"/>
      <w:r w:rsidRPr="0012553C">
        <w:rPr>
          <w:rFonts w:ascii="Century Gothic" w:hAnsi="Century Gothic" w:cs="Times New Roman"/>
          <w:color w:val="000000" w:themeColor="text1"/>
        </w:rPr>
        <w:t>the</w:t>
      </w:r>
      <w:proofErr w:type="gramEnd"/>
      <w:r w:rsidRPr="0012553C">
        <w:rPr>
          <w:rFonts w:ascii="Century Gothic" w:hAnsi="Century Gothic" w:cs="Times New Roman"/>
          <w:color w:val="000000" w:themeColor="text1"/>
        </w:rPr>
        <w:t xml:space="preserve"> Medical Education and Discovery / Rehabilitation Hospital (UU), the Human Performance Center (DSU), and the Social Science Building Renovation (WSU). Funding for the UU project is phased in over three years and the DSU and WSU projects are phased in over two years. Also approved was an increase in capital improvement funds for state facilities.</w:t>
      </w:r>
    </w:p>
    <w:p w14:paraId="15B4CEBE" w14:textId="31BF6C8B" w:rsidR="00BC5BC9" w:rsidRPr="0016603D" w:rsidRDefault="00BC5BC9" w:rsidP="00BC5BC9">
      <w:pPr>
        <w:shd w:val="clear" w:color="auto" w:fill="FFFFFF"/>
        <w:spacing w:before="240" w:after="240"/>
        <w:outlineLvl w:val="2"/>
        <w:rPr>
          <w:rFonts w:ascii="Century Gothic" w:eastAsia="Times New Roman" w:hAnsi="Century Gothic" w:cs="Times New Roman"/>
          <w:color w:val="000000" w:themeColor="text1"/>
          <w:sz w:val="26"/>
          <w:szCs w:val="26"/>
        </w:rPr>
      </w:pPr>
      <w:r w:rsidRPr="0016603D">
        <w:rPr>
          <w:rFonts w:ascii="Century Gothic" w:eastAsia="Times New Roman" w:hAnsi="Century Gothic" w:cs="Times New Roman"/>
          <w:b/>
          <w:bCs/>
          <w:color w:val="000000" w:themeColor="text1"/>
          <w:sz w:val="26"/>
          <w:szCs w:val="26"/>
        </w:rPr>
        <w:t>UVU Capital Facility Priorities Outcomes</w:t>
      </w:r>
    </w:p>
    <w:p w14:paraId="546BFE3A" w14:textId="77777777" w:rsidR="00BC5BC9" w:rsidRPr="008C7E87" w:rsidRDefault="00BC5BC9" w:rsidP="00BC5BC9">
      <w:pPr>
        <w:rPr>
          <w:rFonts w:ascii="Century Gothic" w:hAnsi="Century Gothic" w:cs="Times New Roman"/>
          <w:color w:val="000000" w:themeColor="text1"/>
        </w:rPr>
      </w:pPr>
      <w:r w:rsidRPr="008C7E87">
        <w:rPr>
          <w:rFonts w:ascii="Century Gothic" w:hAnsi="Century Gothic" w:cs="Times New Roman"/>
          <w:b/>
          <w:color w:val="385623" w:themeColor="accent6" w:themeShade="80"/>
          <w:u w:val="single"/>
        </w:rPr>
        <w:t>Woodbury School of Business Building</w:t>
      </w:r>
      <w:r w:rsidRPr="008C7E87">
        <w:rPr>
          <w:rFonts w:ascii="Century Gothic" w:hAnsi="Century Gothic" w:cs="Times New Roman"/>
          <w:color w:val="000000" w:themeColor="text1"/>
        </w:rPr>
        <w:t xml:space="preserve"> was presented to Infrastructure &amp; General Government (IGG) on February 8. The building was ranked fifth by the Board of Regents, but was not ranked by IGG for funding consideration this session.</w:t>
      </w:r>
    </w:p>
    <w:p w14:paraId="4E04E18B" w14:textId="77777777" w:rsidR="00BC5BC9" w:rsidRPr="008C7E87" w:rsidRDefault="00BC5BC9" w:rsidP="00BC5BC9">
      <w:pPr>
        <w:rPr>
          <w:rFonts w:ascii="Century Gothic" w:hAnsi="Century Gothic" w:cs="Times New Roman"/>
          <w:color w:val="000000" w:themeColor="text1"/>
        </w:rPr>
      </w:pPr>
    </w:p>
    <w:p w14:paraId="595D293B" w14:textId="443EEDF6" w:rsidR="00823D42" w:rsidRPr="008C7E87" w:rsidRDefault="00BC5BC9" w:rsidP="0012553C">
      <w:pPr>
        <w:rPr>
          <w:rFonts w:ascii="Century Gothic" w:hAnsi="Century Gothic" w:cs="Times New Roman"/>
          <w:color w:val="000000" w:themeColor="text1"/>
        </w:rPr>
      </w:pPr>
      <w:r w:rsidRPr="008C7E87">
        <w:rPr>
          <w:rFonts w:ascii="Century Gothic" w:hAnsi="Century Gothic" w:cs="Times New Roman"/>
          <w:b/>
          <w:color w:val="385623" w:themeColor="accent6" w:themeShade="80"/>
          <w:u w:val="single"/>
        </w:rPr>
        <w:t>Transportation Needs</w:t>
      </w:r>
      <w:r w:rsidRPr="008C7E87">
        <w:rPr>
          <w:rFonts w:ascii="Century Gothic" w:hAnsi="Century Gothic" w:cs="Times New Roman"/>
          <w:b/>
          <w:color w:val="385623" w:themeColor="accent6" w:themeShade="80"/>
        </w:rPr>
        <w:t>:</w:t>
      </w:r>
      <w:r w:rsidRPr="008C7E87">
        <w:rPr>
          <w:rFonts w:ascii="Century Gothic" w:hAnsi="Century Gothic" w:cs="Times New Roman"/>
          <w:color w:val="000000" w:themeColor="text1"/>
        </w:rPr>
        <w:t xml:space="preserve"> The legislature, in partnership with Utah Valley University (UVU), the Utah Department of Transportation (UDOT), the Utah Transit Authority (UTA), and </w:t>
      </w:r>
      <w:proofErr w:type="spellStart"/>
      <w:r w:rsidRPr="008C7E87">
        <w:rPr>
          <w:rFonts w:ascii="Century Gothic" w:hAnsi="Century Gothic" w:cs="Times New Roman"/>
          <w:color w:val="000000" w:themeColor="text1"/>
        </w:rPr>
        <w:t>Mountainland</w:t>
      </w:r>
      <w:proofErr w:type="spellEnd"/>
      <w:r w:rsidRPr="008C7E87">
        <w:rPr>
          <w:rFonts w:ascii="Century Gothic" w:hAnsi="Century Gothic" w:cs="Times New Roman"/>
          <w:color w:val="000000" w:themeColor="text1"/>
        </w:rPr>
        <w:t xml:space="preserve"> Association of Governments (MAG), will be funding a pedestrian bridge to connect the Orem </w:t>
      </w:r>
      <w:proofErr w:type="spellStart"/>
      <w:r w:rsidRPr="008C7E87">
        <w:rPr>
          <w:rFonts w:ascii="Century Gothic" w:hAnsi="Century Gothic" w:cs="Times New Roman"/>
          <w:color w:val="000000" w:themeColor="text1"/>
        </w:rPr>
        <w:t>FrontRunner</w:t>
      </w:r>
      <w:proofErr w:type="spellEnd"/>
      <w:r w:rsidRPr="008C7E87">
        <w:rPr>
          <w:rFonts w:ascii="Century Gothic" w:hAnsi="Century Gothic" w:cs="Times New Roman"/>
          <w:color w:val="000000" w:themeColor="text1"/>
        </w:rPr>
        <w:t xml:space="preserve"> stop (UVU’s West Campus) with UVU’s main Orem campus. T</w:t>
      </w:r>
      <w:r w:rsidR="0012553C" w:rsidRPr="008C7E87">
        <w:rPr>
          <w:rFonts w:ascii="Century Gothic" w:hAnsi="Century Gothic" w:cs="Times New Roman"/>
          <w:color w:val="000000" w:themeColor="text1"/>
        </w:rPr>
        <w:t>he legislature</w:t>
      </w:r>
      <w:r w:rsidRPr="008C7E87">
        <w:rPr>
          <w:rFonts w:ascii="Century Gothic" w:hAnsi="Century Gothic" w:cs="Times New Roman"/>
          <w:color w:val="000000" w:themeColor="text1"/>
        </w:rPr>
        <w:t xml:space="preserve"> approved a transportation bond, which includes some funding for this pedestrian bridge. Funding for this project is as follows: $3M UVU, $7M UDOT, $4M bond (to be paid back by UTA over 10 years). MAG and UDOT are starting immediately to engineer and design the pedestrian bridge, which be finalized by fall 2017. Then</w:t>
      </w:r>
      <w:r w:rsidR="0012553C" w:rsidRPr="008C7E87">
        <w:rPr>
          <w:rFonts w:ascii="Century Gothic" w:hAnsi="Century Gothic" w:cs="Times New Roman"/>
          <w:color w:val="000000" w:themeColor="text1"/>
        </w:rPr>
        <w:t>,</w:t>
      </w:r>
      <w:r w:rsidRPr="008C7E87">
        <w:rPr>
          <w:rFonts w:ascii="Century Gothic" w:hAnsi="Century Gothic" w:cs="Times New Roman"/>
          <w:color w:val="000000" w:themeColor="text1"/>
        </w:rPr>
        <w:t xml:space="preserve"> the project will go out to bid with construction starting spring of 2018. The completion date will be determined once the design has been set.</w:t>
      </w:r>
    </w:p>
    <w:p w14:paraId="3D3BE15E" w14:textId="0B737DF4" w:rsidR="0012553C" w:rsidRPr="008C7E87" w:rsidRDefault="008C7E87" w:rsidP="0012553C">
      <w:pPr>
        <w:rPr>
          <w:rFonts w:ascii="Century Gothic" w:hAnsi="Century Gothic" w:cs="Times New Roman"/>
          <w:color w:val="000000" w:themeColor="text1"/>
          <w:sz w:val="21"/>
          <w:szCs w:val="21"/>
        </w:rPr>
      </w:pPr>
      <w:r>
        <w:rPr>
          <w:rFonts w:ascii="Century Gothic" w:hAnsi="Century Gothic"/>
          <w:noProof/>
        </w:rPr>
        <w:lastRenderedPageBreak/>
        <mc:AlternateContent>
          <mc:Choice Requires="wps">
            <w:drawing>
              <wp:anchor distT="0" distB="0" distL="114300" distR="114300" simplePos="0" relativeHeight="251666432" behindDoc="0" locked="0" layoutInCell="1" allowOverlap="1" wp14:anchorId="7B809DB8" wp14:editId="53250656">
                <wp:simplePos x="0" y="0"/>
                <wp:positionH relativeFrom="column">
                  <wp:posOffset>-4156</wp:posOffset>
                </wp:positionH>
                <wp:positionV relativeFrom="paragraph">
                  <wp:posOffset>187036</wp:posOffset>
                </wp:positionV>
                <wp:extent cx="6411191" cy="10391"/>
                <wp:effectExtent l="0" t="0" r="40640" b="40640"/>
                <wp:wrapNone/>
                <wp:docPr id="6" name="Straight Connector 6"/>
                <wp:cNvGraphicFramePr/>
                <a:graphic xmlns:a="http://schemas.openxmlformats.org/drawingml/2006/main">
                  <a:graphicData uri="http://schemas.microsoft.com/office/word/2010/wordprocessingShape">
                    <wps:wsp>
                      <wps:cNvCnPr/>
                      <wps:spPr>
                        <a:xfrm>
                          <a:off x="0" y="0"/>
                          <a:ext cx="6411191" cy="1039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DBDE03"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4.75pt" to="504.45pt,15.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" strokecolor="black [3200]" strokeweight=".5pt">
                <v:stroke joinstyle="miter"/>
              </v:line>
            </w:pict>
          </mc:Fallback>
        </mc:AlternateContent>
      </w:r>
    </w:p>
    <w:p w14:paraId="65120FB1" w14:textId="51502A4C" w:rsidR="003807FE" w:rsidRDefault="003807FE" w:rsidP="00823D42">
      <w:pPr>
        <w:spacing w:line="350" w:lineRule="auto"/>
      </w:pPr>
    </w:p>
    <w:p w14:paraId="272E843B" w14:textId="51EB2032" w:rsidR="003807FE" w:rsidRPr="00E84DF4" w:rsidRDefault="003807FE" w:rsidP="003807FE">
      <w:pPr>
        <w:spacing w:after="220" w:line="350" w:lineRule="auto"/>
        <w:rPr>
          <w:rFonts w:ascii="Century Gothic" w:hAnsi="Century Gothic"/>
          <w:b/>
          <w:color w:val="262626" w:themeColor="text1" w:themeTint="D9"/>
          <w:sz w:val="26"/>
          <w:szCs w:val="26"/>
        </w:rPr>
      </w:pPr>
      <w:r w:rsidRPr="00E84DF4">
        <w:rPr>
          <w:rFonts w:ascii="Century Gothic" w:hAnsi="Century Gothic"/>
          <w:b/>
          <w:color w:val="262626" w:themeColor="text1" w:themeTint="D9"/>
          <w:sz w:val="26"/>
          <w:szCs w:val="26"/>
        </w:rPr>
        <w:t>L</w:t>
      </w:r>
      <w:r w:rsidR="0012553C">
        <w:rPr>
          <w:rFonts w:ascii="Century Gothic" w:hAnsi="Century Gothic"/>
          <w:b/>
          <w:color w:val="262626" w:themeColor="text1" w:themeTint="D9"/>
          <w:sz w:val="26"/>
          <w:szCs w:val="26"/>
        </w:rPr>
        <w:t>egislation Passed</w:t>
      </w:r>
    </w:p>
    <w:p w14:paraId="114E0DF2" w14:textId="77777777" w:rsidR="008C7E87" w:rsidRPr="006B5104" w:rsidRDefault="00FB4943" w:rsidP="008C7E87">
      <w:pPr>
        <w:rPr>
          <w:rFonts w:ascii="Century Gothic" w:hAnsi="Century Gothic" w:cs="Times New Roman"/>
        </w:rPr>
      </w:pPr>
      <w:hyperlink r:id="rId13">
        <w:r w:rsidR="008C7E87" w:rsidRPr="006B5104">
          <w:rPr>
            <w:rFonts w:ascii="Century Gothic" w:eastAsia="Lato" w:hAnsi="Century Gothic" w:cs="Times New Roman"/>
            <w:b/>
            <w:bCs/>
            <w:color w:val="1155CC"/>
            <w:u w:val="single"/>
          </w:rPr>
          <w:t>*</w:t>
        </w:r>
        <w:r w:rsidR="008C7E87" w:rsidRPr="006B5104">
          <w:rPr>
            <w:rFonts w:ascii="Century Gothic" w:eastAsia="Lato" w:hAnsi="Century Gothic" w:cs="Times New Roman"/>
            <w:b/>
            <w:color w:val="1155CC"/>
            <w:u w:val="single"/>
          </w:rPr>
          <w:t>HB 24, Student Prosperity Plan - Tax Amendments</w:t>
        </w:r>
      </w:hyperlink>
      <w:r w:rsidR="008C7E87" w:rsidRPr="006B5104">
        <w:rPr>
          <w:rFonts w:ascii="Century Gothic" w:eastAsia="Lato" w:hAnsi="Century Gothic" w:cs="Times New Roman"/>
        </w:rPr>
        <w:t xml:space="preserve"> - Rep. Jeremy Peterson, </w:t>
      </w:r>
      <w:r w:rsidR="008C7E87" w:rsidRPr="006B5104">
        <w:rPr>
          <w:rFonts w:ascii="Century Gothic" w:eastAsia="Lato" w:hAnsi="Century Gothic" w:cs="Times New Roman"/>
          <w:color w:val="222222"/>
          <w:highlight w:val="white"/>
        </w:rPr>
        <w:t xml:space="preserve">creates a method for corporations to make donations to assist qualifying low-income students </w:t>
      </w:r>
      <w:r w:rsidR="008C7E87">
        <w:rPr>
          <w:rFonts w:ascii="Century Gothic" w:eastAsia="Lato" w:hAnsi="Century Gothic" w:cs="Times New Roman"/>
          <w:color w:val="222222"/>
          <w:highlight w:val="white"/>
        </w:rPr>
        <w:t xml:space="preserve">to </w:t>
      </w:r>
      <w:r w:rsidR="008C7E87" w:rsidRPr="006B5104">
        <w:rPr>
          <w:rFonts w:ascii="Century Gothic" w:eastAsia="Lato" w:hAnsi="Century Gothic" w:cs="Times New Roman"/>
          <w:color w:val="222222"/>
          <w:highlight w:val="white"/>
        </w:rPr>
        <w:t xml:space="preserve">save for college through the Utah Educational Savings Plan (UESP). </w:t>
      </w:r>
    </w:p>
    <w:p w14:paraId="7A79C8F7" w14:textId="77777777" w:rsidR="008C7E87" w:rsidRPr="006B5104" w:rsidRDefault="008C7E87" w:rsidP="008C7E87">
      <w:pPr>
        <w:rPr>
          <w:rFonts w:ascii="Century Gothic" w:hAnsi="Century Gothic" w:cs="Times New Roman"/>
        </w:rPr>
      </w:pPr>
    </w:p>
    <w:p w14:paraId="2D1F9395" w14:textId="77777777" w:rsidR="008C7E87" w:rsidRPr="00384640" w:rsidRDefault="00FB4943" w:rsidP="008C7E87">
      <w:pPr>
        <w:rPr>
          <w:rFonts w:ascii="Century Gothic" w:eastAsia="Lato" w:hAnsi="Century Gothic" w:cs="Times New Roman"/>
          <w:color w:val="000000" w:themeColor="text1"/>
        </w:rPr>
      </w:pPr>
      <w:hyperlink r:id="rId14">
        <w:r w:rsidR="008C7E87" w:rsidRPr="006B5104">
          <w:rPr>
            <w:rFonts w:ascii="Century Gothic" w:eastAsia="Lato" w:hAnsi="Century Gothic" w:cs="Times New Roman"/>
            <w:b/>
            <w:color w:val="1155CC"/>
            <w:u w:val="single"/>
          </w:rPr>
          <w:t>HB 54, Campus Free Speech Amendments</w:t>
        </w:r>
      </w:hyperlink>
      <w:hyperlink r:id="rId15">
        <w:r w:rsidR="008C7E87" w:rsidRPr="006B5104">
          <w:rPr>
            <w:rFonts w:ascii="Century Gothic" w:eastAsia="Lato" w:hAnsi="Century Gothic" w:cs="Times New Roman"/>
            <w:color w:val="1155CC"/>
            <w:u w:val="single"/>
          </w:rPr>
          <w:t xml:space="preserve"> </w:t>
        </w:r>
      </w:hyperlink>
      <w:r w:rsidR="008C7E87" w:rsidRPr="00384640">
        <w:rPr>
          <w:rFonts w:ascii="Century Gothic" w:eastAsia="Lato" w:hAnsi="Century Gothic" w:cs="Times New Roman"/>
          <w:color w:val="000000" w:themeColor="text1"/>
          <w:highlight w:val="white"/>
        </w:rPr>
        <w:t>by Rep. Kim Coleman, creates requirements for USHE institutions related to free speech activity. The legislation replicates policies related to regarding free-speech already in place at USHE institutions.</w:t>
      </w:r>
    </w:p>
    <w:p w14:paraId="2F6D8BAE" w14:textId="77777777" w:rsidR="008C7E87" w:rsidRDefault="008C7E87" w:rsidP="008C7E87">
      <w:pPr>
        <w:rPr>
          <w:rFonts w:ascii="Century Gothic" w:eastAsia="Lato" w:hAnsi="Century Gothic" w:cs="Times New Roman"/>
          <w:color w:val="FF0000"/>
        </w:rPr>
      </w:pPr>
    </w:p>
    <w:p w14:paraId="18944FCE" w14:textId="77777777" w:rsidR="008C7E87" w:rsidRPr="00384640" w:rsidRDefault="00FB4943" w:rsidP="008C7E87">
      <w:pPr>
        <w:rPr>
          <w:rFonts w:ascii="Century Gothic" w:eastAsia="Lato" w:hAnsi="Century Gothic" w:cs="Times New Roman"/>
          <w:color w:val="000000" w:themeColor="text1"/>
        </w:rPr>
      </w:pPr>
      <w:hyperlink r:id="rId16" w:history="1">
        <w:r w:rsidR="008C7E87" w:rsidRPr="000C799D">
          <w:rPr>
            <w:rStyle w:val="Hyperlink"/>
            <w:rFonts w:ascii="Century Gothic" w:eastAsia="Lato" w:hAnsi="Century Gothic" w:cs="Times New Roman"/>
            <w:b/>
          </w:rPr>
          <w:t>HB 55 (2</w:t>
        </w:r>
        <w:r w:rsidR="008C7E87" w:rsidRPr="000C799D">
          <w:rPr>
            <w:rStyle w:val="Hyperlink"/>
            <w:rFonts w:ascii="Century Gothic" w:eastAsia="Lato" w:hAnsi="Century Gothic" w:cs="Times New Roman"/>
            <w:b/>
            <w:vertAlign w:val="superscript"/>
          </w:rPr>
          <w:t>nd</w:t>
        </w:r>
        <w:r w:rsidR="008C7E87" w:rsidRPr="000C799D">
          <w:rPr>
            <w:rStyle w:val="Hyperlink"/>
            <w:rFonts w:ascii="Century Gothic" w:eastAsia="Lato" w:hAnsi="Century Gothic" w:cs="Times New Roman"/>
            <w:b/>
          </w:rPr>
          <w:t xml:space="preserve"> Sub.), Governmental Nonprofit Entity Compliance</w:t>
        </w:r>
      </w:hyperlink>
      <w:r w:rsidR="008C7E87">
        <w:rPr>
          <w:rFonts w:ascii="Century Gothic" w:eastAsia="Lato" w:hAnsi="Century Gothic" w:cs="Times New Roman"/>
          <w:color w:val="222222"/>
        </w:rPr>
        <w:t>,</w:t>
      </w:r>
      <w:r w:rsidR="008C7E87" w:rsidRPr="000C799D">
        <w:rPr>
          <w:rFonts w:ascii="Century Gothic" w:eastAsia="Lato" w:hAnsi="Century Gothic" w:cs="Times New Roman"/>
          <w:color w:val="FF0000"/>
        </w:rPr>
        <w:t xml:space="preserve"> </w:t>
      </w:r>
      <w:r w:rsidR="008C7E87" w:rsidRPr="00384640">
        <w:rPr>
          <w:rFonts w:ascii="Century Gothic" w:eastAsia="Lato" w:hAnsi="Century Gothic" w:cs="Times New Roman"/>
          <w:color w:val="000000" w:themeColor="text1"/>
        </w:rPr>
        <w:t xml:space="preserve">by Rep. Kim Coleman, establishes requirements for governmental nonprofit entities, subjecting them to regulations such as the Open and Public Meetings Act, the Government Records Access and Management Act (GRAMA) and Fiscal Procedures for </w:t>
      </w:r>
      <w:proofErr w:type="spellStart"/>
      <w:r w:rsidR="008C7E87" w:rsidRPr="00384640">
        <w:rPr>
          <w:rFonts w:ascii="Century Gothic" w:eastAsia="Lato" w:hAnsi="Century Gothic" w:cs="Times New Roman"/>
          <w:color w:val="000000" w:themeColor="text1"/>
        </w:rPr>
        <w:t>Interlocal</w:t>
      </w:r>
      <w:proofErr w:type="spellEnd"/>
      <w:r w:rsidR="008C7E87" w:rsidRPr="00384640">
        <w:rPr>
          <w:rFonts w:ascii="Century Gothic" w:eastAsia="Lato" w:hAnsi="Century Gothic" w:cs="Times New Roman"/>
          <w:color w:val="000000" w:themeColor="text1"/>
        </w:rPr>
        <w:t xml:space="preserve"> Entities. </w:t>
      </w:r>
      <w:proofErr w:type="gramStart"/>
      <w:r w:rsidR="008C7E87" w:rsidRPr="00384640">
        <w:rPr>
          <w:rFonts w:ascii="Century Gothic" w:eastAsia="Lato" w:hAnsi="Century Gothic" w:cs="Times New Roman"/>
          <w:color w:val="000000" w:themeColor="text1"/>
        </w:rPr>
        <w:t>This impacts</w:t>
      </w:r>
      <w:proofErr w:type="gramEnd"/>
      <w:r w:rsidR="008C7E87" w:rsidRPr="00384640">
        <w:rPr>
          <w:rFonts w:ascii="Century Gothic" w:eastAsia="Lato" w:hAnsi="Century Gothic" w:cs="Times New Roman"/>
          <w:color w:val="000000" w:themeColor="text1"/>
        </w:rPr>
        <w:t xml:space="preserve"> certain nonprofit entities affiliated with USHE institution in which the institutions have a controlling interest.</w:t>
      </w:r>
    </w:p>
    <w:p w14:paraId="0CC65127" w14:textId="77777777" w:rsidR="008C7E87" w:rsidRPr="00384640" w:rsidRDefault="008C7E87" w:rsidP="008C7E87">
      <w:pPr>
        <w:rPr>
          <w:rFonts w:ascii="Century Gothic" w:eastAsia="Lato" w:hAnsi="Century Gothic" w:cs="Times New Roman"/>
          <w:color w:val="000000" w:themeColor="text1"/>
        </w:rPr>
      </w:pPr>
    </w:p>
    <w:p w14:paraId="2F240B4D" w14:textId="77777777" w:rsidR="008C7E87" w:rsidRDefault="00FB4943" w:rsidP="008C7E87">
      <w:pPr>
        <w:rPr>
          <w:rFonts w:ascii="Century Gothic" w:eastAsia="Lato" w:hAnsi="Century Gothic" w:cs="Times New Roman"/>
          <w:color w:val="222222"/>
        </w:rPr>
      </w:pPr>
      <w:hyperlink r:id="rId17" w:history="1">
        <w:r w:rsidR="008C7E87" w:rsidRPr="006B5104">
          <w:rPr>
            <w:rStyle w:val="Hyperlink"/>
            <w:rFonts w:ascii="Century Gothic" w:eastAsia="Lato" w:hAnsi="Century Gothic" w:cs="Times New Roman"/>
            <w:b/>
          </w:rPr>
          <w:t>HB 156 (1</w:t>
        </w:r>
        <w:r w:rsidR="008C7E87" w:rsidRPr="006B5104">
          <w:rPr>
            <w:rStyle w:val="Hyperlink"/>
            <w:rFonts w:ascii="Century Gothic" w:eastAsia="Lato" w:hAnsi="Century Gothic" w:cs="Times New Roman"/>
            <w:b/>
            <w:vertAlign w:val="superscript"/>
          </w:rPr>
          <w:t>st</w:t>
        </w:r>
        <w:r w:rsidR="008C7E87" w:rsidRPr="006B5104">
          <w:rPr>
            <w:rStyle w:val="Hyperlink"/>
            <w:rFonts w:ascii="Century Gothic" w:eastAsia="Lato" w:hAnsi="Century Gothic" w:cs="Times New Roman"/>
            <w:b/>
          </w:rPr>
          <w:t xml:space="preserve"> Sub.), State Job Application Process</w:t>
        </w:r>
      </w:hyperlink>
      <w:r w:rsidR="008C7E87">
        <w:rPr>
          <w:rFonts w:ascii="Century Gothic" w:eastAsia="Lato" w:hAnsi="Century Gothic" w:cs="Times New Roman"/>
          <w:b/>
          <w:color w:val="222222"/>
        </w:rPr>
        <w:t xml:space="preserve">, </w:t>
      </w:r>
      <w:r w:rsidR="008C7E87">
        <w:rPr>
          <w:rFonts w:ascii="Century Gothic" w:eastAsia="Lato" w:hAnsi="Century Gothic" w:cs="Times New Roman"/>
          <w:color w:val="222222"/>
        </w:rPr>
        <w:t>by Rep. Sandra Hollins, prohibits a public employer from requiring job applicants to disclose past criminal convictions before an initial interview for employment. Certain exemptions are allowed, including employers whose primary purpose is performing financial or fiduciary functions.</w:t>
      </w:r>
    </w:p>
    <w:p w14:paraId="14D2636A" w14:textId="77777777" w:rsidR="008C7E87" w:rsidRDefault="008C7E87" w:rsidP="008C7E87">
      <w:pPr>
        <w:rPr>
          <w:rFonts w:ascii="Century Gothic" w:eastAsia="Lato" w:hAnsi="Century Gothic" w:cs="Times New Roman"/>
          <w:color w:val="222222"/>
        </w:rPr>
      </w:pPr>
    </w:p>
    <w:p w14:paraId="663C9633" w14:textId="77777777" w:rsidR="008C7E87" w:rsidRPr="006B5104" w:rsidRDefault="00FB4943" w:rsidP="008C7E87">
      <w:pPr>
        <w:rPr>
          <w:rFonts w:ascii="Century Gothic" w:eastAsia="Lato" w:hAnsi="Century Gothic" w:cs="Times New Roman"/>
          <w:color w:val="222222"/>
        </w:rPr>
      </w:pPr>
      <w:hyperlink r:id="rId18" w:history="1">
        <w:r w:rsidR="008C7E87" w:rsidRPr="006B5104">
          <w:rPr>
            <w:rStyle w:val="Hyperlink"/>
            <w:rFonts w:ascii="Century Gothic" w:eastAsia="Lato" w:hAnsi="Century Gothic" w:cs="Times New Roman"/>
            <w:b/>
          </w:rPr>
          <w:t>HB 198, Concealed Carry Amendments</w:t>
        </w:r>
      </w:hyperlink>
      <w:r w:rsidR="008C7E87">
        <w:rPr>
          <w:rFonts w:ascii="Century Gothic" w:eastAsia="Lato" w:hAnsi="Century Gothic" w:cs="Times New Roman"/>
          <w:color w:val="222222"/>
        </w:rPr>
        <w:t xml:space="preserve">, by Rep. </w:t>
      </w:r>
      <w:proofErr w:type="spellStart"/>
      <w:r w:rsidR="008C7E87">
        <w:rPr>
          <w:rFonts w:ascii="Century Gothic" w:eastAsia="Lato" w:hAnsi="Century Gothic" w:cs="Times New Roman"/>
          <w:color w:val="222222"/>
        </w:rPr>
        <w:t>Karianne</w:t>
      </w:r>
      <w:proofErr w:type="spellEnd"/>
      <w:r w:rsidR="008C7E87">
        <w:rPr>
          <w:rFonts w:ascii="Century Gothic" w:eastAsia="Lato" w:hAnsi="Century Gothic" w:cs="Times New Roman"/>
          <w:color w:val="222222"/>
        </w:rPr>
        <w:t xml:space="preserve"> </w:t>
      </w:r>
      <w:proofErr w:type="spellStart"/>
      <w:r w:rsidR="008C7E87">
        <w:rPr>
          <w:rFonts w:ascii="Century Gothic" w:eastAsia="Lato" w:hAnsi="Century Gothic" w:cs="Times New Roman"/>
          <w:color w:val="222222"/>
        </w:rPr>
        <w:t>Lisonbee</w:t>
      </w:r>
      <w:proofErr w:type="spellEnd"/>
      <w:r w:rsidR="008C7E87">
        <w:rPr>
          <w:rFonts w:ascii="Century Gothic" w:eastAsia="Lato" w:hAnsi="Century Gothic" w:cs="Times New Roman"/>
          <w:color w:val="222222"/>
        </w:rPr>
        <w:t>, establishes a provisional permit to carry a concealed firearm for individuals under 21 years of age.</w:t>
      </w:r>
    </w:p>
    <w:p w14:paraId="3D5B0150" w14:textId="77777777" w:rsidR="008C7E87" w:rsidRDefault="008C7E87" w:rsidP="008C7E87">
      <w:pPr>
        <w:rPr>
          <w:rFonts w:ascii="Century Gothic" w:eastAsia="Lato" w:hAnsi="Century Gothic" w:cs="Times New Roman"/>
          <w:color w:val="222222"/>
        </w:rPr>
      </w:pPr>
    </w:p>
    <w:p w14:paraId="674E2B48" w14:textId="77777777" w:rsidR="008C7E87" w:rsidRDefault="00FB4943" w:rsidP="008C7E87">
      <w:pPr>
        <w:rPr>
          <w:rFonts w:ascii="Century Gothic" w:eastAsia="Lato" w:hAnsi="Century Gothic" w:cs="Times New Roman"/>
          <w:color w:val="222222"/>
        </w:rPr>
      </w:pPr>
      <w:hyperlink r:id="rId19" w:history="1">
        <w:r w:rsidR="008C7E87" w:rsidRPr="006B5104">
          <w:rPr>
            <w:rStyle w:val="Hyperlink"/>
            <w:rFonts w:ascii="Century Gothic" w:eastAsia="Lato" w:hAnsi="Century Gothic" w:cs="Times New Roman"/>
            <w:b/>
          </w:rPr>
          <w:t>HB 431 (3</w:t>
        </w:r>
        <w:r w:rsidR="008C7E87" w:rsidRPr="006B5104">
          <w:rPr>
            <w:rStyle w:val="Hyperlink"/>
            <w:rFonts w:ascii="Century Gothic" w:eastAsia="Lato" w:hAnsi="Century Gothic" w:cs="Times New Roman"/>
            <w:b/>
            <w:vertAlign w:val="superscript"/>
          </w:rPr>
          <w:t>rd</w:t>
        </w:r>
        <w:r w:rsidR="008C7E87" w:rsidRPr="006B5104">
          <w:rPr>
            <w:rStyle w:val="Hyperlink"/>
            <w:rFonts w:ascii="Century Gothic" w:eastAsia="Lato" w:hAnsi="Century Gothic" w:cs="Times New Roman"/>
            <w:b/>
          </w:rPr>
          <w:t xml:space="preserve"> Sub.), Government Employees Reimbursement Amendments</w:t>
        </w:r>
      </w:hyperlink>
      <w:r w:rsidR="008C7E87">
        <w:rPr>
          <w:rFonts w:ascii="Century Gothic" w:eastAsia="Lato" w:hAnsi="Century Gothic" w:cs="Times New Roman"/>
          <w:color w:val="222222"/>
        </w:rPr>
        <w:t xml:space="preserve">, by Rep. Tim Quinn, prohibits government officers or employees from making personal purchases with public funds, including incurring debt on behalf of or payable by a governmental entity. The bill was amended to allow inconsequential recourse for unintended purchases. The bill establishes an administrative penalty for officers or employees who are found to be making a personal expenditure. </w:t>
      </w:r>
    </w:p>
    <w:p w14:paraId="3CDF6576" w14:textId="77777777" w:rsidR="008C7E87" w:rsidRDefault="008C7E87" w:rsidP="008C7E87">
      <w:pPr>
        <w:rPr>
          <w:rFonts w:ascii="Century Gothic" w:eastAsia="Lato" w:hAnsi="Century Gothic" w:cs="Times New Roman"/>
          <w:color w:val="222222"/>
        </w:rPr>
      </w:pPr>
    </w:p>
    <w:p w14:paraId="614446D1" w14:textId="77777777" w:rsidR="008C7E87" w:rsidRPr="006B5104" w:rsidRDefault="00FB4943" w:rsidP="008C7E87">
      <w:pPr>
        <w:rPr>
          <w:rFonts w:ascii="Century Gothic" w:hAnsi="Century Gothic" w:cs="Times New Roman"/>
        </w:rPr>
      </w:pPr>
      <w:hyperlink r:id="rId20" w:anchor="gid=0" w:history="1">
        <w:r w:rsidR="008C7E87" w:rsidRPr="006B5104">
          <w:rPr>
            <w:rStyle w:val="Hyperlink"/>
            <w:rFonts w:ascii="Century Gothic" w:eastAsia="Lato" w:hAnsi="Century Gothic" w:cs="Times New Roman"/>
            <w:b/>
          </w:rPr>
          <w:t>SB 14 (2</w:t>
        </w:r>
        <w:r w:rsidR="008C7E87" w:rsidRPr="006B5104">
          <w:rPr>
            <w:rStyle w:val="Hyperlink"/>
            <w:rFonts w:ascii="Century Gothic" w:eastAsia="Lato" w:hAnsi="Century Gothic" w:cs="Times New Roman"/>
            <w:b/>
            <w:vertAlign w:val="superscript"/>
          </w:rPr>
          <w:t>nd</w:t>
        </w:r>
        <w:r w:rsidR="008C7E87" w:rsidRPr="006B5104">
          <w:rPr>
            <w:rStyle w:val="Hyperlink"/>
            <w:rFonts w:ascii="Century Gothic" w:eastAsia="Lato" w:hAnsi="Century Gothic" w:cs="Times New Roman"/>
            <w:b/>
          </w:rPr>
          <w:t xml:space="preserve"> Sub.), Emergency Telephone Service Amendments</w:t>
        </w:r>
      </w:hyperlink>
      <w:r w:rsidR="008C7E87">
        <w:rPr>
          <w:rFonts w:ascii="Century Gothic" w:eastAsia="Lato" w:hAnsi="Century Gothic" w:cs="Times New Roman"/>
          <w:color w:val="222222"/>
        </w:rPr>
        <w:t>, by Sen. Wayne Harper, requires multi-line telephone systems to provide geo-location information for a public safety answering point and requires multi-line phone systems to be capable of accessing 911 services directly.</w:t>
      </w:r>
    </w:p>
    <w:p w14:paraId="135DAFCC" w14:textId="77777777" w:rsidR="008C7E87" w:rsidRPr="006B5104" w:rsidRDefault="008C7E87" w:rsidP="008C7E87">
      <w:pPr>
        <w:rPr>
          <w:rFonts w:ascii="Century Gothic" w:hAnsi="Century Gothic" w:cs="Times New Roman"/>
        </w:rPr>
      </w:pPr>
    </w:p>
    <w:p w14:paraId="0C2DDFDB" w14:textId="77777777" w:rsidR="008C7E87" w:rsidRPr="006B5104" w:rsidRDefault="00FB4943" w:rsidP="008C7E87">
      <w:pPr>
        <w:rPr>
          <w:rFonts w:ascii="Century Gothic" w:hAnsi="Century Gothic" w:cs="Times New Roman"/>
        </w:rPr>
      </w:pPr>
      <w:hyperlink r:id="rId21">
        <w:r w:rsidR="008C7E87" w:rsidRPr="006B5104">
          <w:rPr>
            <w:rFonts w:ascii="Century Gothic" w:eastAsia="Lato" w:hAnsi="Century Gothic" w:cs="Times New Roman"/>
            <w:b/>
            <w:color w:val="1155CC"/>
            <w:highlight w:val="white"/>
            <w:u w:val="single"/>
          </w:rPr>
          <w:t>*SB 35, Veterans Tuition Gap Program Act Amendments</w:t>
        </w:r>
      </w:hyperlink>
      <w:r w:rsidR="008C7E87" w:rsidRPr="006B5104">
        <w:rPr>
          <w:rFonts w:ascii="Century Gothic" w:eastAsia="Lato" w:hAnsi="Century Gothic" w:cs="Times New Roman"/>
          <w:highlight w:val="white"/>
        </w:rPr>
        <w:t>, by Sen. Escamilla</w:t>
      </w:r>
      <w:r w:rsidR="008C7E87">
        <w:rPr>
          <w:rFonts w:ascii="Century Gothic" w:eastAsia="Lato" w:hAnsi="Century Gothic" w:cs="Times New Roman"/>
          <w:highlight w:val="white"/>
        </w:rPr>
        <w:t>,</w:t>
      </w:r>
      <w:r w:rsidR="008C7E87" w:rsidRPr="006B5104">
        <w:rPr>
          <w:rFonts w:ascii="Century Gothic" w:eastAsia="Lato" w:hAnsi="Century Gothic" w:cs="Times New Roman"/>
          <w:highlight w:val="white"/>
        </w:rPr>
        <w:t xml:space="preserve"> amends the federal programs to which the Veterans Tu</w:t>
      </w:r>
      <w:r w:rsidR="008C7E87">
        <w:rPr>
          <w:rFonts w:ascii="Century Gothic" w:eastAsia="Lato" w:hAnsi="Century Gothic" w:cs="Times New Roman"/>
          <w:highlight w:val="white"/>
        </w:rPr>
        <w:t xml:space="preserve">ition Gap Program </w:t>
      </w:r>
      <w:r w:rsidR="008C7E87" w:rsidRPr="006B5104">
        <w:rPr>
          <w:rFonts w:ascii="Century Gothic" w:eastAsia="Lato" w:hAnsi="Century Gothic" w:cs="Times New Roman"/>
          <w:highlight w:val="white"/>
        </w:rPr>
        <w:t>relates and removes the requirement that a qualifying veteran using the program</w:t>
      </w:r>
      <w:r w:rsidR="008C7E87">
        <w:rPr>
          <w:rFonts w:ascii="Century Gothic" w:eastAsia="Lato" w:hAnsi="Century Gothic" w:cs="Times New Roman"/>
          <w:highlight w:val="white"/>
        </w:rPr>
        <w:t xml:space="preserve"> qualify for a federal program.</w:t>
      </w:r>
    </w:p>
    <w:p w14:paraId="56F1979E" w14:textId="77777777" w:rsidR="008C7E87" w:rsidRPr="006B5104" w:rsidRDefault="008C7E87" w:rsidP="008C7E87">
      <w:pPr>
        <w:rPr>
          <w:rFonts w:ascii="Century Gothic" w:hAnsi="Century Gothic" w:cs="Times New Roman"/>
        </w:rPr>
      </w:pPr>
    </w:p>
    <w:p w14:paraId="0D52780C" w14:textId="77777777" w:rsidR="008C7E87" w:rsidRPr="000C7A55" w:rsidRDefault="00FB4943" w:rsidP="008C7E87">
      <w:pPr>
        <w:rPr>
          <w:rFonts w:ascii="Century Gothic" w:eastAsia="Wawati SC" w:hAnsi="Century Gothic" w:cs="Times New Roman"/>
        </w:rPr>
      </w:pPr>
      <w:hyperlink r:id="rId22">
        <w:r w:rsidR="008C7E87" w:rsidRPr="006B5104">
          <w:rPr>
            <w:rFonts w:ascii="Century Gothic" w:eastAsia="Wawati SC" w:hAnsi="Century Gothic" w:cs="Times New Roman"/>
            <w:b/>
            <w:color w:val="1155CC"/>
            <w:u w:val="single"/>
          </w:rPr>
          <w:t>HB 100, Institutions of Higher Education Disclosure Requirements</w:t>
        </w:r>
      </w:hyperlink>
      <w:r w:rsidR="008C7E87" w:rsidRPr="006B5104">
        <w:rPr>
          <w:rFonts w:ascii="Century Gothic" w:eastAsia="Wawati SC" w:hAnsi="Century Gothic" w:cs="Times New Roman"/>
        </w:rPr>
        <w:t xml:space="preserve"> </w:t>
      </w:r>
      <w:r w:rsidR="008C7E87" w:rsidRPr="006B5104">
        <w:rPr>
          <w:rFonts w:ascii="Century Gothic" w:eastAsia="Wawati SC" w:hAnsi="Century Gothic" w:cs="Times New Roman"/>
          <w:color w:val="222222"/>
          <w:highlight w:val="white"/>
        </w:rPr>
        <w:t>by Rep. Kim Coleman</w:t>
      </w:r>
      <w:r w:rsidR="008C7E87">
        <w:rPr>
          <w:rFonts w:ascii="Century Gothic" w:eastAsia="Wawati SC" w:hAnsi="Century Gothic" w:cs="Times New Roman"/>
          <w:color w:val="222222"/>
          <w:highlight w:val="white"/>
        </w:rPr>
        <w:t>,</w:t>
      </w:r>
      <w:r w:rsidR="008C7E87" w:rsidRPr="006B5104">
        <w:rPr>
          <w:rFonts w:ascii="Century Gothic" w:eastAsia="Wawati SC" w:hAnsi="Century Gothic" w:cs="Times New Roman"/>
          <w:color w:val="222222"/>
          <w:highlight w:val="white"/>
        </w:rPr>
        <w:t xml:space="preserve"> requires institutions of higher education to disclose information including job placement, wage earnings, average student debt and the amount of tax subsidy for programs at USHE institutions.</w:t>
      </w:r>
    </w:p>
    <w:p w14:paraId="2FD40A33" w14:textId="77777777" w:rsidR="008C7E87" w:rsidRPr="006B5104" w:rsidRDefault="008C7E87" w:rsidP="008C7E87">
      <w:pPr>
        <w:rPr>
          <w:rFonts w:ascii="Century Gothic" w:hAnsi="Century Gothic" w:cs="Times New Roman"/>
        </w:rPr>
      </w:pPr>
    </w:p>
    <w:p w14:paraId="749815F3" w14:textId="77777777" w:rsidR="008C7E87" w:rsidRPr="006B5104" w:rsidRDefault="00FB4943" w:rsidP="008C7E87">
      <w:pPr>
        <w:rPr>
          <w:rFonts w:ascii="Century Gothic" w:eastAsia="Wawati SC" w:hAnsi="Century Gothic" w:cs="Times New Roman"/>
          <w:b/>
          <w:i/>
          <w:color w:val="222222"/>
        </w:rPr>
      </w:pPr>
      <w:hyperlink r:id="rId23" w:history="1">
        <w:r w:rsidR="008C7E87">
          <w:rPr>
            <w:rStyle w:val="Hyperlink"/>
            <w:rFonts w:ascii="Century Gothic" w:eastAsia="Wawati SC" w:hAnsi="Century Gothic" w:cs="Times New Roman"/>
            <w:b/>
          </w:rPr>
          <w:t>*H</w:t>
        </w:r>
        <w:r w:rsidR="008C7E87" w:rsidRPr="006B5104">
          <w:rPr>
            <w:rStyle w:val="Hyperlink"/>
            <w:rFonts w:ascii="Century Gothic" w:eastAsia="Wawati SC" w:hAnsi="Century Gothic" w:cs="Times New Roman"/>
            <w:b/>
          </w:rPr>
          <w:t>B 249 (1</w:t>
        </w:r>
        <w:r w:rsidR="008C7E87" w:rsidRPr="006B5104">
          <w:rPr>
            <w:rStyle w:val="Hyperlink"/>
            <w:rFonts w:ascii="Century Gothic" w:eastAsia="Wawati SC" w:hAnsi="Century Gothic" w:cs="Times New Roman"/>
            <w:b/>
            <w:vertAlign w:val="superscript"/>
          </w:rPr>
          <w:t>st</w:t>
        </w:r>
        <w:r w:rsidR="008C7E87" w:rsidRPr="006B5104">
          <w:rPr>
            <w:rStyle w:val="Hyperlink"/>
            <w:rFonts w:ascii="Century Gothic" w:eastAsia="Wawati SC" w:hAnsi="Century Gothic" w:cs="Times New Roman"/>
            <w:b/>
          </w:rPr>
          <w:t xml:space="preserve"> Sub.), Higher Education Financial Literacy Amendments</w:t>
        </w:r>
      </w:hyperlink>
      <w:r w:rsidR="008C7E87" w:rsidRPr="006B5104">
        <w:rPr>
          <w:rFonts w:ascii="Century Gothic" w:eastAsia="Wawati SC" w:hAnsi="Century Gothic" w:cs="Times New Roman"/>
          <w:b/>
          <w:color w:val="222222"/>
        </w:rPr>
        <w:t xml:space="preserve">, </w:t>
      </w:r>
      <w:r w:rsidR="008C7E87" w:rsidRPr="006B5104">
        <w:rPr>
          <w:rFonts w:ascii="Century Gothic" w:eastAsia="Wawati SC" w:hAnsi="Century Gothic" w:cs="Times New Roman"/>
          <w:color w:val="222222"/>
        </w:rPr>
        <w:t xml:space="preserve">by Rep. Robert </w:t>
      </w:r>
      <w:proofErr w:type="spellStart"/>
      <w:r w:rsidR="008C7E87" w:rsidRPr="006B5104">
        <w:rPr>
          <w:rFonts w:ascii="Century Gothic" w:eastAsia="Wawati SC" w:hAnsi="Century Gothic" w:cs="Times New Roman"/>
          <w:color w:val="222222"/>
        </w:rPr>
        <w:t>Spendlove</w:t>
      </w:r>
      <w:proofErr w:type="spellEnd"/>
      <w:r w:rsidR="008C7E87">
        <w:rPr>
          <w:rFonts w:ascii="Century Gothic" w:eastAsia="Wawati SC" w:hAnsi="Century Gothic" w:cs="Times New Roman"/>
          <w:color w:val="222222"/>
        </w:rPr>
        <w:t>,</w:t>
      </w:r>
      <w:r w:rsidR="008C7E87" w:rsidRPr="006B5104">
        <w:rPr>
          <w:rFonts w:ascii="Century Gothic" w:eastAsia="Wawati SC" w:hAnsi="Century Gothic" w:cs="Times New Roman"/>
          <w:color w:val="222222"/>
        </w:rPr>
        <w:t xml:space="preserve"> requires higher education to annually notify students who have taken out a loan for college directing them to their loan balance as well as a repayment calculator.</w:t>
      </w:r>
    </w:p>
    <w:p w14:paraId="098EF9CD" w14:textId="77777777" w:rsidR="008C7E87" w:rsidRPr="006B5104" w:rsidRDefault="008C7E87" w:rsidP="008C7E87">
      <w:pPr>
        <w:rPr>
          <w:rFonts w:ascii="Century Gothic" w:eastAsia="Wawati SC" w:hAnsi="Century Gothic" w:cs="Times New Roman"/>
          <w:color w:val="222222"/>
        </w:rPr>
      </w:pPr>
    </w:p>
    <w:p w14:paraId="4D11DDF3" w14:textId="77777777" w:rsidR="008C7E87" w:rsidRPr="006B5104" w:rsidRDefault="00FB4943" w:rsidP="008C7E87">
      <w:pPr>
        <w:rPr>
          <w:rFonts w:ascii="Century Gothic" w:eastAsia="Wawati SC" w:hAnsi="Century Gothic" w:cs="Times New Roman"/>
          <w:b/>
          <w:i/>
          <w:color w:val="222222"/>
        </w:rPr>
      </w:pPr>
      <w:hyperlink r:id="rId24" w:history="1">
        <w:r w:rsidR="008C7E87">
          <w:rPr>
            <w:rStyle w:val="Hyperlink"/>
            <w:rFonts w:ascii="Century Gothic" w:eastAsia="Wawati SC" w:hAnsi="Century Gothic" w:cs="Times New Roman"/>
            <w:b/>
          </w:rPr>
          <w:t>*H</w:t>
        </w:r>
        <w:r w:rsidR="008C7E87" w:rsidRPr="006B5104">
          <w:rPr>
            <w:rStyle w:val="Hyperlink"/>
            <w:rFonts w:ascii="Century Gothic" w:eastAsia="Wawati SC" w:hAnsi="Century Gothic" w:cs="Times New Roman"/>
            <w:b/>
          </w:rPr>
          <w:t>B 251, Campus Advocate Confidentiality Amendments</w:t>
        </w:r>
      </w:hyperlink>
      <w:r w:rsidR="008C7E87" w:rsidRPr="006B5104">
        <w:rPr>
          <w:rFonts w:ascii="Century Gothic" w:eastAsia="Wawati SC" w:hAnsi="Century Gothic" w:cs="Times New Roman"/>
          <w:color w:val="222222"/>
        </w:rPr>
        <w:t>, by Rep. Angela Romero</w:t>
      </w:r>
      <w:r w:rsidR="008C7E87">
        <w:rPr>
          <w:rFonts w:ascii="Century Gothic" w:eastAsia="Wawati SC" w:hAnsi="Century Gothic" w:cs="Times New Roman"/>
          <w:color w:val="222222"/>
        </w:rPr>
        <w:t>,</w:t>
      </w:r>
      <w:r w:rsidR="008C7E87" w:rsidRPr="006B5104">
        <w:rPr>
          <w:rFonts w:ascii="Century Gothic" w:eastAsia="Wawati SC" w:hAnsi="Century Gothic" w:cs="Times New Roman"/>
          <w:color w:val="222222"/>
        </w:rPr>
        <w:t xml:space="preserve"> prohibits the disclosure of confidential communications related to advocacy services at a Utah institution of higher education.</w:t>
      </w:r>
    </w:p>
    <w:p w14:paraId="417CA11F" w14:textId="77777777" w:rsidR="008C7E87" w:rsidRPr="006B5104" w:rsidRDefault="008C7E87" w:rsidP="008C7E87">
      <w:pPr>
        <w:rPr>
          <w:rFonts w:ascii="Century Gothic" w:eastAsia="Wawati SC" w:hAnsi="Century Gothic" w:cs="Times New Roman"/>
          <w:color w:val="222222"/>
        </w:rPr>
      </w:pPr>
    </w:p>
    <w:p w14:paraId="653E070A" w14:textId="77777777" w:rsidR="008C7E87" w:rsidRDefault="00FB4943" w:rsidP="008C7E87">
      <w:pPr>
        <w:rPr>
          <w:rFonts w:ascii="Century Gothic" w:eastAsia="Wawati SC" w:hAnsi="Century Gothic" w:cs="Times New Roman"/>
          <w:color w:val="222222"/>
        </w:rPr>
      </w:pPr>
      <w:hyperlink r:id="rId25" w:history="1">
        <w:r w:rsidR="008C7E87">
          <w:rPr>
            <w:rStyle w:val="Hyperlink"/>
            <w:rFonts w:ascii="Century Gothic" w:eastAsia="Wawati SC" w:hAnsi="Century Gothic" w:cs="Times New Roman"/>
            <w:b/>
          </w:rPr>
          <w:t>*H</w:t>
        </w:r>
        <w:r w:rsidR="008C7E87" w:rsidRPr="006B5104">
          <w:rPr>
            <w:rStyle w:val="Hyperlink"/>
            <w:rFonts w:ascii="Century Gothic" w:eastAsia="Wawati SC" w:hAnsi="Century Gothic" w:cs="Times New Roman"/>
            <w:b/>
          </w:rPr>
          <w:t>CR 16</w:t>
        </w:r>
        <w:r w:rsidR="008C7E87">
          <w:rPr>
            <w:rStyle w:val="Hyperlink"/>
            <w:rFonts w:ascii="Century Gothic" w:eastAsia="Wawati SC" w:hAnsi="Century Gothic" w:cs="Times New Roman"/>
            <w:b/>
          </w:rPr>
          <w:t xml:space="preserve"> (1</w:t>
        </w:r>
        <w:r w:rsidR="008C7E87" w:rsidRPr="009336DE">
          <w:rPr>
            <w:rStyle w:val="Hyperlink"/>
            <w:rFonts w:ascii="Century Gothic" w:eastAsia="Wawati SC" w:hAnsi="Century Gothic" w:cs="Times New Roman"/>
            <w:b/>
            <w:vertAlign w:val="superscript"/>
          </w:rPr>
          <w:t>st</w:t>
        </w:r>
        <w:r w:rsidR="008C7E87">
          <w:rPr>
            <w:rStyle w:val="Hyperlink"/>
            <w:rFonts w:ascii="Century Gothic" w:eastAsia="Wawati SC" w:hAnsi="Century Gothic" w:cs="Times New Roman"/>
            <w:b/>
          </w:rPr>
          <w:t xml:space="preserve"> Sub.)</w:t>
        </w:r>
        <w:r w:rsidR="008C7E87" w:rsidRPr="006B5104">
          <w:rPr>
            <w:rStyle w:val="Hyperlink"/>
            <w:rFonts w:ascii="Century Gothic" w:eastAsia="Wawati SC" w:hAnsi="Century Gothic" w:cs="Times New Roman"/>
            <w:b/>
          </w:rPr>
          <w:t xml:space="preserve">, Concurrent Resolution Declaring Mental Health Issues </w:t>
        </w:r>
        <w:proofErr w:type="gramStart"/>
        <w:r w:rsidR="008C7E87" w:rsidRPr="006B5104">
          <w:rPr>
            <w:rStyle w:val="Hyperlink"/>
            <w:rFonts w:ascii="Century Gothic" w:eastAsia="Wawati SC" w:hAnsi="Century Gothic" w:cs="Times New Roman"/>
            <w:b/>
          </w:rPr>
          <w:t>To</w:t>
        </w:r>
        <w:proofErr w:type="gramEnd"/>
        <w:r w:rsidR="008C7E87" w:rsidRPr="006B5104">
          <w:rPr>
            <w:rStyle w:val="Hyperlink"/>
            <w:rFonts w:ascii="Century Gothic" w:eastAsia="Wawati SC" w:hAnsi="Century Gothic" w:cs="Times New Roman"/>
            <w:b/>
          </w:rPr>
          <w:t xml:space="preserve"> Be A Public Health Crisis At Utah Higher Education Institutions</w:t>
        </w:r>
      </w:hyperlink>
      <w:r w:rsidR="008C7E87" w:rsidRPr="006B5104">
        <w:rPr>
          <w:rFonts w:ascii="Century Gothic" w:eastAsia="Wawati SC" w:hAnsi="Century Gothic" w:cs="Times New Roman"/>
          <w:color w:val="222222"/>
        </w:rPr>
        <w:t>, by Rep. Ed Redd</w:t>
      </w:r>
      <w:r w:rsidR="008C7E87">
        <w:rPr>
          <w:rFonts w:ascii="Century Gothic" w:eastAsia="Wawati SC" w:hAnsi="Century Gothic" w:cs="Times New Roman"/>
          <w:color w:val="222222"/>
        </w:rPr>
        <w:t>,</w:t>
      </w:r>
      <w:r w:rsidR="008C7E87" w:rsidRPr="006B5104">
        <w:rPr>
          <w:rFonts w:ascii="Century Gothic" w:eastAsia="Wawati SC" w:hAnsi="Century Gothic" w:cs="Times New Roman"/>
          <w:color w:val="222222"/>
        </w:rPr>
        <w:t xml:space="preserve"> declares mental health issues to be a public health crisis at Utah higher education institutions. It strongly urges state agencies, local health authorities, non-profit groups, and higher education entities to seek productive, long-term so</w:t>
      </w:r>
      <w:r w:rsidR="008C7E87">
        <w:rPr>
          <w:rFonts w:ascii="Century Gothic" w:eastAsia="Wawati SC" w:hAnsi="Century Gothic" w:cs="Times New Roman"/>
          <w:color w:val="222222"/>
        </w:rPr>
        <w:t>lutions to address this crisis.</w:t>
      </w:r>
    </w:p>
    <w:p w14:paraId="17A0F03D" w14:textId="77777777" w:rsidR="008C7E87" w:rsidRPr="006B5104" w:rsidRDefault="008C7E87" w:rsidP="008C7E87">
      <w:pPr>
        <w:rPr>
          <w:rFonts w:ascii="Century Gothic" w:hAnsi="Century Gothic" w:cs="Times New Roman"/>
        </w:rPr>
      </w:pPr>
    </w:p>
    <w:p w14:paraId="142D1354" w14:textId="77777777" w:rsidR="008C7E87" w:rsidRDefault="00FB4943" w:rsidP="008C7E87">
      <w:pPr>
        <w:rPr>
          <w:rFonts w:ascii="Century Gothic" w:eastAsia="Times New Roman" w:hAnsi="Century Gothic" w:cs="Times New Roman"/>
          <w:color w:val="222222"/>
          <w:shd w:val="clear" w:color="auto" w:fill="FFFFFF"/>
        </w:rPr>
      </w:pPr>
      <w:hyperlink r:id="rId26" w:history="1">
        <w:r w:rsidR="008C7E87">
          <w:rPr>
            <w:rStyle w:val="Hyperlink"/>
            <w:rFonts w:ascii="Century Gothic" w:eastAsia="Wawati SC" w:hAnsi="Century Gothic" w:cs="Times New Roman"/>
            <w:b/>
          </w:rPr>
          <w:t>*S</w:t>
        </w:r>
        <w:r w:rsidR="008C7E87" w:rsidRPr="006B5104">
          <w:rPr>
            <w:rStyle w:val="Hyperlink"/>
            <w:rFonts w:ascii="Century Gothic" w:eastAsia="Wawati SC" w:hAnsi="Century Gothic" w:cs="Times New Roman"/>
            <w:b/>
          </w:rPr>
          <w:t>B 117 (</w:t>
        </w:r>
        <w:r w:rsidR="008C7E87">
          <w:rPr>
            <w:rStyle w:val="Hyperlink"/>
            <w:rFonts w:ascii="Century Gothic" w:eastAsia="Wawati SC" w:hAnsi="Century Gothic" w:cs="Times New Roman"/>
            <w:b/>
          </w:rPr>
          <w:t>4</w:t>
        </w:r>
        <w:r w:rsidR="008C7E87" w:rsidRPr="006B5104">
          <w:rPr>
            <w:rStyle w:val="Hyperlink"/>
            <w:rFonts w:ascii="Century Gothic" w:eastAsia="Wawati SC" w:hAnsi="Century Gothic" w:cs="Times New Roman"/>
            <w:b/>
            <w:vertAlign w:val="superscript"/>
          </w:rPr>
          <w:t>t</w:t>
        </w:r>
        <w:r w:rsidR="008C7E87">
          <w:rPr>
            <w:rStyle w:val="Hyperlink"/>
            <w:rFonts w:ascii="Century Gothic" w:eastAsia="Wawati SC" w:hAnsi="Century Gothic" w:cs="Times New Roman"/>
            <w:b/>
            <w:vertAlign w:val="superscript"/>
          </w:rPr>
          <w:t>h</w:t>
        </w:r>
        <w:r w:rsidR="008C7E87" w:rsidRPr="006B5104">
          <w:rPr>
            <w:rStyle w:val="Hyperlink"/>
            <w:rFonts w:ascii="Century Gothic" w:eastAsia="Wawati SC" w:hAnsi="Century Gothic" w:cs="Times New Roman"/>
            <w:b/>
          </w:rPr>
          <w:t xml:space="preserve"> Sub.), Performance Funding Revisions</w:t>
        </w:r>
      </w:hyperlink>
      <w:r w:rsidR="008C7E87" w:rsidRPr="006B5104">
        <w:rPr>
          <w:rStyle w:val="Hyperlink"/>
          <w:rFonts w:ascii="Century Gothic" w:eastAsia="Wawati SC" w:hAnsi="Century Gothic" w:cs="Times New Roman"/>
          <w:b/>
        </w:rPr>
        <w:t>,</w:t>
      </w:r>
      <w:r w:rsidR="008C7E87" w:rsidRPr="006B5104">
        <w:rPr>
          <w:rFonts w:ascii="Century Gothic" w:eastAsia="Wawati SC" w:hAnsi="Century Gothic" w:cs="Times New Roman"/>
        </w:rPr>
        <w:t xml:space="preserve"> by Sen. Ann Millner</w:t>
      </w:r>
      <w:r w:rsidR="008C7E87">
        <w:rPr>
          <w:rFonts w:ascii="Century Gothic" w:eastAsia="Wawati SC" w:hAnsi="Century Gothic" w:cs="Times New Roman"/>
        </w:rPr>
        <w:t>,</w:t>
      </w:r>
      <w:r w:rsidR="008C7E87" w:rsidRPr="006B5104">
        <w:rPr>
          <w:rFonts w:ascii="Century Gothic" w:eastAsia="Wawati SC" w:hAnsi="Century Gothic" w:cs="Times New Roman"/>
        </w:rPr>
        <w:t xml:space="preserve"> provides ongoing funding </w:t>
      </w:r>
      <w:r w:rsidR="008C7E87" w:rsidRPr="006B5104">
        <w:rPr>
          <w:rFonts w:ascii="Century Gothic" w:eastAsia="Times New Roman" w:hAnsi="Century Gothic" w:cs="Times New Roman"/>
          <w:color w:val="222222"/>
          <w:shd w:val="clear" w:color="auto" w:fill="FFFFFF"/>
        </w:rPr>
        <w:t>dedicated the performance outcomes proposed by the Board of Regents and adop</w:t>
      </w:r>
      <w:r w:rsidR="008C7E87">
        <w:rPr>
          <w:rFonts w:ascii="Century Gothic" w:eastAsia="Times New Roman" w:hAnsi="Century Gothic" w:cs="Times New Roman"/>
          <w:color w:val="222222"/>
          <w:shd w:val="clear" w:color="auto" w:fill="FFFFFF"/>
        </w:rPr>
        <w:t>ted by the Legislature in 2015.</w:t>
      </w:r>
    </w:p>
    <w:p w14:paraId="204B35B7" w14:textId="77777777" w:rsidR="008C7E87" w:rsidRDefault="008C7E87" w:rsidP="008C7E87">
      <w:pPr>
        <w:rPr>
          <w:rFonts w:ascii="Century Gothic" w:eastAsia="Times New Roman" w:hAnsi="Century Gothic" w:cs="Times New Roman"/>
          <w:color w:val="222222"/>
          <w:shd w:val="clear" w:color="auto" w:fill="FFFFFF"/>
        </w:rPr>
      </w:pPr>
    </w:p>
    <w:p w14:paraId="005869CD" w14:textId="77777777" w:rsidR="008C7E87" w:rsidRPr="006B5104" w:rsidRDefault="00FB4943" w:rsidP="008C7E87">
      <w:pPr>
        <w:rPr>
          <w:rFonts w:ascii="Century Gothic" w:eastAsia="Times New Roman" w:hAnsi="Century Gothic" w:cs="Times New Roman"/>
          <w:color w:val="222222"/>
          <w:shd w:val="clear" w:color="auto" w:fill="FFFFFF"/>
        </w:rPr>
      </w:pPr>
      <w:hyperlink r:id="rId27" w:history="1">
        <w:r w:rsidR="008C7E87" w:rsidRPr="006B5104">
          <w:rPr>
            <w:rStyle w:val="Hyperlink"/>
            <w:rFonts w:ascii="Century Gothic" w:eastAsia="Times New Roman" w:hAnsi="Century Gothic" w:cs="Times New Roman"/>
            <w:b/>
            <w:shd w:val="clear" w:color="auto" w:fill="FFFFFF"/>
          </w:rPr>
          <w:t>*SB 149 (1</w:t>
        </w:r>
        <w:r w:rsidR="008C7E87" w:rsidRPr="006B5104">
          <w:rPr>
            <w:rStyle w:val="Hyperlink"/>
            <w:rFonts w:ascii="Century Gothic" w:eastAsia="Times New Roman" w:hAnsi="Century Gothic" w:cs="Times New Roman"/>
            <w:b/>
            <w:shd w:val="clear" w:color="auto" w:fill="FFFFFF"/>
            <w:vertAlign w:val="superscript"/>
          </w:rPr>
          <w:t>st</w:t>
        </w:r>
        <w:r w:rsidR="008C7E87" w:rsidRPr="006B5104">
          <w:rPr>
            <w:rStyle w:val="Hyperlink"/>
            <w:rFonts w:ascii="Century Gothic" w:eastAsia="Times New Roman" w:hAnsi="Century Gothic" w:cs="Times New Roman"/>
            <w:b/>
            <w:shd w:val="clear" w:color="auto" w:fill="FFFFFF"/>
          </w:rPr>
          <w:t xml:space="preserve"> Sub.), Financial Education and Savings Plan to Benefit At-risk Children</w:t>
        </w:r>
      </w:hyperlink>
      <w:r w:rsidR="008C7E87">
        <w:rPr>
          <w:rFonts w:ascii="Century Gothic" w:eastAsia="Times New Roman" w:hAnsi="Century Gothic" w:cs="Times New Roman"/>
          <w:color w:val="222222"/>
          <w:shd w:val="clear" w:color="auto" w:fill="FFFFFF"/>
        </w:rPr>
        <w:t>, by Sen. Lincoln Fillmore, c</w:t>
      </w:r>
      <w:r w:rsidR="008C7E87" w:rsidRPr="006B5104">
        <w:rPr>
          <w:rFonts w:ascii="Century Gothic" w:eastAsia="Times New Roman" w:hAnsi="Century Gothic" w:cs="Times New Roman"/>
          <w:color w:val="222222"/>
          <w:shd w:val="clear" w:color="auto" w:fill="FFFFFF"/>
        </w:rPr>
        <w:t xml:space="preserve">reates the </w:t>
      </w:r>
      <w:r w:rsidR="008C7E87" w:rsidRPr="006B5104">
        <w:rPr>
          <w:rFonts w:ascii="Century Gothic" w:eastAsia="Times New Roman" w:hAnsi="Century Gothic" w:cs="Times New Roman"/>
          <w:i/>
          <w:color w:val="222222"/>
          <w:shd w:val="clear" w:color="auto" w:fill="FFFFFF"/>
        </w:rPr>
        <w:t>Parental Coaching to Encourage Student Savings Program</w:t>
      </w:r>
      <w:r w:rsidR="008C7E87" w:rsidRPr="006B5104">
        <w:rPr>
          <w:rFonts w:ascii="Century Gothic" w:eastAsia="Times New Roman" w:hAnsi="Century Gothic" w:cs="Times New Roman"/>
          <w:color w:val="222222"/>
          <w:shd w:val="clear" w:color="auto" w:fill="FFFFFF"/>
        </w:rPr>
        <w:t>, which provides financial training to parents of economically disadvantaged children attending kindergarten</w:t>
      </w:r>
      <w:r w:rsidR="008C7E87">
        <w:rPr>
          <w:rFonts w:ascii="Century Gothic" w:eastAsia="Times New Roman" w:hAnsi="Century Gothic" w:cs="Times New Roman"/>
          <w:color w:val="222222"/>
          <w:shd w:val="clear" w:color="auto" w:fill="FFFFFF"/>
        </w:rPr>
        <w:t>. The program</w:t>
      </w:r>
      <w:r w:rsidR="008C7E87" w:rsidRPr="006B5104">
        <w:rPr>
          <w:rFonts w:ascii="Century Gothic" w:eastAsia="Times New Roman" w:hAnsi="Century Gothic" w:cs="Times New Roman"/>
          <w:color w:val="222222"/>
          <w:shd w:val="clear" w:color="auto" w:fill="FFFFFF"/>
        </w:rPr>
        <w:t xml:space="preserve"> encourage</w:t>
      </w:r>
      <w:r w:rsidR="008C7E87">
        <w:rPr>
          <w:rFonts w:ascii="Century Gothic" w:eastAsia="Times New Roman" w:hAnsi="Century Gothic" w:cs="Times New Roman"/>
          <w:color w:val="222222"/>
          <w:shd w:val="clear" w:color="auto" w:fill="FFFFFF"/>
        </w:rPr>
        <w:t>s</w:t>
      </w:r>
      <w:r w:rsidR="008C7E87" w:rsidRPr="006B5104">
        <w:rPr>
          <w:rFonts w:ascii="Century Gothic" w:eastAsia="Times New Roman" w:hAnsi="Century Gothic" w:cs="Times New Roman"/>
          <w:color w:val="222222"/>
          <w:shd w:val="clear" w:color="auto" w:fill="FFFFFF"/>
        </w:rPr>
        <w:t xml:space="preserve"> parents to start saving money for their child's eventual </w:t>
      </w:r>
      <w:r w:rsidR="008C7E87">
        <w:rPr>
          <w:rFonts w:ascii="Century Gothic" w:eastAsia="Times New Roman" w:hAnsi="Century Gothic" w:cs="Times New Roman"/>
          <w:color w:val="222222"/>
          <w:shd w:val="clear" w:color="auto" w:fill="FFFFFF"/>
        </w:rPr>
        <w:t>higher education expenses. The program provides a $50</w:t>
      </w:r>
      <w:r w:rsidR="008C7E87" w:rsidRPr="006B5104">
        <w:rPr>
          <w:rFonts w:ascii="Century Gothic" w:eastAsia="Times New Roman" w:hAnsi="Century Gothic" w:cs="Times New Roman"/>
          <w:color w:val="222222"/>
          <w:shd w:val="clear" w:color="auto" w:fill="FFFFFF"/>
        </w:rPr>
        <w:t xml:space="preserve"> contribution to the 529 savings accounts of economically</w:t>
      </w:r>
      <w:r w:rsidR="008C7E87">
        <w:rPr>
          <w:rFonts w:ascii="Century Gothic" w:eastAsia="Times New Roman" w:hAnsi="Century Gothic" w:cs="Times New Roman"/>
          <w:color w:val="222222"/>
          <w:shd w:val="clear" w:color="auto" w:fill="FFFFFF"/>
        </w:rPr>
        <w:t xml:space="preserve"> disadvantaged children if their parents successfully meet the requirements of the program.</w:t>
      </w:r>
    </w:p>
    <w:p w14:paraId="5ADF996A" w14:textId="77777777" w:rsidR="008C7E87" w:rsidRPr="006B5104" w:rsidRDefault="008C7E87" w:rsidP="008C7E87">
      <w:pPr>
        <w:rPr>
          <w:rFonts w:ascii="Century Gothic" w:eastAsia="Times New Roman" w:hAnsi="Century Gothic" w:cs="Times New Roman"/>
          <w:color w:val="222222"/>
          <w:shd w:val="clear" w:color="auto" w:fill="FFFFFF"/>
        </w:rPr>
      </w:pPr>
    </w:p>
    <w:p w14:paraId="4F0D5D56" w14:textId="77777777" w:rsidR="008C7E87" w:rsidRPr="006B5104" w:rsidRDefault="00FB4943" w:rsidP="008C7E87">
      <w:pPr>
        <w:rPr>
          <w:rFonts w:ascii="Century Gothic" w:eastAsia="Times New Roman" w:hAnsi="Century Gothic" w:cs="Times New Roman"/>
          <w:color w:val="222222"/>
          <w:shd w:val="clear" w:color="auto" w:fill="FFFFFF"/>
        </w:rPr>
      </w:pPr>
      <w:hyperlink r:id="rId28" w:history="1">
        <w:r w:rsidR="008C7E87" w:rsidRPr="006B5104">
          <w:rPr>
            <w:rStyle w:val="Hyperlink"/>
            <w:rFonts w:ascii="Century Gothic" w:eastAsia="Times New Roman" w:hAnsi="Century Gothic" w:cs="Times New Roman"/>
            <w:b/>
            <w:shd w:val="clear" w:color="auto" w:fill="FFFFFF"/>
          </w:rPr>
          <w:t>SB 194 (5</w:t>
        </w:r>
        <w:r w:rsidR="008C7E87" w:rsidRPr="006B5104">
          <w:rPr>
            <w:rStyle w:val="Hyperlink"/>
            <w:rFonts w:ascii="Century Gothic" w:eastAsia="Times New Roman" w:hAnsi="Century Gothic" w:cs="Times New Roman"/>
            <w:b/>
            <w:shd w:val="clear" w:color="auto" w:fill="FFFFFF"/>
            <w:vertAlign w:val="superscript"/>
          </w:rPr>
          <w:t>th</w:t>
        </w:r>
        <w:r w:rsidR="008C7E87" w:rsidRPr="006B5104">
          <w:rPr>
            <w:rStyle w:val="Hyperlink"/>
            <w:rFonts w:ascii="Century Gothic" w:eastAsia="Times New Roman" w:hAnsi="Century Gothic" w:cs="Times New Roman"/>
            <w:b/>
            <w:shd w:val="clear" w:color="auto" w:fill="FFFFFF"/>
          </w:rPr>
          <w:t xml:space="preserve"> Sub.), Utah Data Research Center Act)</w:t>
        </w:r>
      </w:hyperlink>
      <w:r w:rsidR="008C7E87" w:rsidRPr="006B5104">
        <w:rPr>
          <w:rFonts w:ascii="Century Gothic" w:eastAsia="Times New Roman" w:hAnsi="Century Gothic" w:cs="Times New Roman"/>
          <w:color w:val="222222"/>
          <w:shd w:val="clear" w:color="auto" w:fill="FFFFFF"/>
        </w:rPr>
        <w:t xml:space="preserve">, by Sen. Jacob </w:t>
      </w:r>
      <w:proofErr w:type="spellStart"/>
      <w:r w:rsidR="008C7E87" w:rsidRPr="006B5104">
        <w:rPr>
          <w:rFonts w:ascii="Century Gothic" w:eastAsia="Times New Roman" w:hAnsi="Century Gothic" w:cs="Times New Roman"/>
          <w:color w:val="222222"/>
          <w:shd w:val="clear" w:color="auto" w:fill="FFFFFF"/>
        </w:rPr>
        <w:t>Anderegg</w:t>
      </w:r>
      <w:proofErr w:type="spellEnd"/>
      <w:r w:rsidR="008C7E87">
        <w:rPr>
          <w:rFonts w:ascii="Century Gothic" w:eastAsia="Times New Roman" w:hAnsi="Century Gothic" w:cs="Times New Roman"/>
          <w:color w:val="222222"/>
          <w:shd w:val="clear" w:color="auto" w:fill="FFFFFF"/>
        </w:rPr>
        <w:t>,</w:t>
      </w:r>
      <w:r w:rsidR="008C7E87" w:rsidRPr="006B5104">
        <w:rPr>
          <w:rFonts w:ascii="Century Gothic" w:eastAsia="Times New Roman" w:hAnsi="Century Gothic" w:cs="Times New Roman"/>
          <w:color w:val="222222"/>
          <w:shd w:val="clear" w:color="auto" w:fill="FFFFFF"/>
        </w:rPr>
        <w:t xml:space="preserve"> establishes the Utah Data Research Center to coordinate data-centric initiatives between the Utah System of Higher Education, K-12, the Utah Department of Workforce Services and the </w:t>
      </w:r>
      <w:r w:rsidR="008C7E87">
        <w:rPr>
          <w:rFonts w:ascii="Century Gothic" w:eastAsia="Times New Roman" w:hAnsi="Century Gothic" w:cs="Times New Roman"/>
          <w:color w:val="222222"/>
          <w:shd w:val="clear" w:color="auto" w:fill="FFFFFF"/>
        </w:rPr>
        <w:t xml:space="preserve">Utah </w:t>
      </w:r>
      <w:r w:rsidR="008C7E87" w:rsidRPr="006B5104">
        <w:rPr>
          <w:rFonts w:ascii="Century Gothic" w:eastAsia="Times New Roman" w:hAnsi="Century Gothic" w:cs="Times New Roman"/>
          <w:color w:val="222222"/>
          <w:shd w:val="clear" w:color="auto" w:fill="FFFFFF"/>
        </w:rPr>
        <w:t xml:space="preserve">Department of Health. </w:t>
      </w:r>
      <w:r w:rsidR="008C7E87">
        <w:rPr>
          <w:rFonts w:ascii="Century Gothic" w:eastAsia="Times New Roman" w:hAnsi="Century Gothic" w:cs="Times New Roman"/>
          <w:color w:val="222222"/>
          <w:shd w:val="clear" w:color="auto" w:fill="FFFFFF"/>
        </w:rPr>
        <w:t>USHE already</w:t>
      </w:r>
      <w:r w:rsidR="008C7E87" w:rsidRPr="006B5104">
        <w:rPr>
          <w:rFonts w:ascii="Century Gothic" w:eastAsia="Times New Roman" w:hAnsi="Century Gothic" w:cs="Times New Roman"/>
          <w:color w:val="222222"/>
          <w:shd w:val="clear" w:color="auto" w:fill="FFFFFF"/>
        </w:rPr>
        <w:t xml:space="preserve"> provides </w:t>
      </w:r>
      <w:r w:rsidR="008C7E87" w:rsidRPr="000C7A55">
        <w:rPr>
          <w:rFonts w:ascii="Century Gothic" w:eastAsia="Times New Roman" w:hAnsi="Century Gothic" w:cs="Times New Roman"/>
          <w:shd w:val="clear" w:color="auto" w:fill="FFFFFF"/>
        </w:rPr>
        <w:t>substantial data coordination and services</w:t>
      </w:r>
      <w:r w:rsidR="008C7E87" w:rsidRPr="006B5104">
        <w:rPr>
          <w:rFonts w:ascii="Century Gothic" w:eastAsia="Times New Roman" w:hAnsi="Century Gothic" w:cs="Times New Roman"/>
          <w:color w:val="222222"/>
          <w:shd w:val="clear" w:color="auto" w:fill="FFFFFF"/>
        </w:rPr>
        <w:t xml:space="preserve"> regarding student performance and workforce</w:t>
      </w:r>
      <w:r w:rsidR="008C7E87">
        <w:rPr>
          <w:rFonts w:ascii="Century Gothic" w:eastAsia="Times New Roman" w:hAnsi="Century Gothic" w:cs="Times New Roman"/>
          <w:color w:val="222222"/>
          <w:shd w:val="clear" w:color="auto" w:fill="FFFFFF"/>
        </w:rPr>
        <w:t>.</w:t>
      </w:r>
    </w:p>
    <w:p w14:paraId="4EC28EB3" w14:textId="77777777" w:rsidR="008C7E87" w:rsidRPr="006B5104" w:rsidRDefault="008C7E87" w:rsidP="008C7E87">
      <w:pPr>
        <w:rPr>
          <w:rFonts w:ascii="Century Gothic" w:eastAsia="Times New Roman" w:hAnsi="Century Gothic" w:cs="Times New Roman"/>
          <w:color w:val="222222"/>
          <w:shd w:val="clear" w:color="auto" w:fill="FFFFFF"/>
        </w:rPr>
      </w:pPr>
    </w:p>
    <w:p w14:paraId="18E9366E" w14:textId="77777777" w:rsidR="008C7E87" w:rsidRDefault="00FB4943" w:rsidP="008C7E87">
      <w:pPr>
        <w:rPr>
          <w:rFonts w:ascii="Century Gothic" w:eastAsia="Times New Roman" w:hAnsi="Century Gothic" w:cs="Times New Roman"/>
          <w:color w:val="222222"/>
          <w:shd w:val="clear" w:color="auto" w:fill="FFFFFF"/>
        </w:rPr>
      </w:pPr>
      <w:hyperlink r:id="rId29" w:history="1">
        <w:r w:rsidR="008C7E87" w:rsidRPr="006B5104">
          <w:rPr>
            <w:rStyle w:val="Hyperlink"/>
            <w:rFonts w:ascii="Century Gothic" w:eastAsia="Times New Roman" w:hAnsi="Century Gothic" w:cs="Times New Roman"/>
            <w:b/>
            <w:shd w:val="clear" w:color="auto" w:fill="FFFFFF"/>
          </w:rPr>
          <w:t>SB 238, Higher Education Governance Revisions,</w:t>
        </w:r>
      </w:hyperlink>
      <w:r w:rsidR="008C7E87" w:rsidRPr="006B5104">
        <w:rPr>
          <w:rFonts w:ascii="Century Gothic" w:eastAsia="Times New Roman" w:hAnsi="Century Gothic" w:cs="Times New Roman"/>
          <w:color w:val="222222"/>
          <w:shd w:val="clear" w:color="auto" w:fill="FFFFFF"/>
        </w:rPr>
        <w:t xml:space="preserve"> by Sen. Ann Millner</w:t>
      </w:r>
      <w:r w:rsidR="008C7E87">
        <w:rPr>
          <w:rFonts w:ascii="Century Gothic" w:eastAsia="Times New Roman" w:hAnsi="Century Gothic" w:cs="Times New Roman"/>
          <w:color w:val="222222"/>
          <w:shd w:val="clear" w:color="auto" w:fill="FFFFFF"/>
        </w:rPr>
        <w:t>,</w:t>
      </w:r>
      <w:r w:rsidR="008C7E87" w:rsidRPr="006B5104">
        <w:rPr>
          <w:rFonts w:ascii="Century Gothic" w:eastAsia="Times New Roman" w:hAnsi="Century Gothic" w:cs="Times New Roman"/>
          <w:color w:val="222222"/>
          <w:shd w:val="clear" w:color="auto" w:fill="FFFFFF"/>
        </w:rPr>
        <w:t xml:space="preserve"> changes the name of UCAT (to Utah System of Technical Colleges and of individual campuses to technical colleges) and makes several significant changes to the governance of public higher education in Utah. The legislation clarifies the roles and mission of the Board of Regents and Boards of Trustees and changes how Regents are appointed by the Governor. The legislation also changes how new academic programs are approved, codifies how presidential searches are to be conducted, and defines the primary missions of USHE institutions. The Commissioner and the B</w:t>
      </w:r>
      <w:r w:rsidR="008C7E87">
        <w:rPr>
          <w:rFonts w:ascii="Century Gothic" w:eastAsia="Times New Roman" w:hAnsi="Century Gothic" w:cs="Times New Roman"/>
          <w:color w:val="222222"/>
          <w:shd w:val="clear" w:color="auto" w:fill="FFFFFF"/>
        </w:rPr>
        <w:t xml:space="preserve">oard’s Executive committee </w:t>
      </w:r>
      <w:r w:rsidR="008C7E87" w:rsidRPr="006B5104">
        <w:rPr>
          <w:rFonts w:ascii="Century Gothic" w:eastAsia="Times New Roman" w:hAnsi="Century Gothic" w:cs="Times New Roman"/>
          <w:color w:val="222222"/>
          <w:shd w:val="clear" w:color="auto" w:fill="FFFFFF"/>
        </w:rPr>
        <w:t>worked closely with the bill sp</w:t>
      </w:r>
      <w:r w:rsidR="008C7E87">
        <w:rPr>
          <w:rFonts w:ascii="Century Gothic" w:eastAsia="Times New Roman" w:hAnsi="Century Gothic" w:cs="Times New Roman"/>
          <w:color w:val="222222"/>
          <w:shd w:val="clear" w:color="auto" w:fill="FFFFFF"/>
        </w:rPr>
        <w:t>onsor on clarifying amendments.</w:t>
      </w:r>
      <w:r w:rsidR="008C7E87" w:rsidRPr="009336DE">
        <w:rPr>
          <w:rFonts w:ascii="Century Gothic" w:eastAsia="Times New Roman" w:hAnsi="Century Gothic" w:cs="Times New Roman"/>
          <w:color w:val="222222"/>
          <w:shd w:val="clear" w:color="auto" w:fill="FFFFFF"/>
        </w:rPr>
        <w:t xml:space="preserve"> </w:t>
      </w:r>
    </w:p>
    <w:p w14:paraId="45D9E5CA" w14:textId="77777777" w:rsidR="008C7E87" w:rsidRPr="006B5104" w:rsidRDefault="008C7E87" w:rsidP="008C7E87">
      <w:pPr>
        <w:rPr>
          <w:rFonts w:ascii="Century Gothic" w:eastAsia="Times New Roman" w:hAnsi="Century Gothic" w:cs="Times New Roman"/>
          <w:color w:val="222222"/>
          <w:shd w:val="clear" w:color="auto" w:fill="FFFFFF"/>
        </w:rPr>
      </w:pPr>
    </w:p>
    <w:p w14:paraId="53514954" w14:textId="77777777" w:rsidR="008C7E87" w:rsidRPr="006B5104" w:rsidRDefault="00FB4943" w:rsidP="008C7E87">
      <w:pPr>
        <w:rPr>
          <w:rFonts w:ascii="Century Gothic" w:eastAsia="Times New Roman" w:hAnsi="Century Gothic" w:cs="Times New Roman"/>
          <w:color w:val="222222"/>
          <w:shd w:val="clear" w:color="auto" w:fill="FFFFFF"/>
        </w:rPr>
      </w:pPr>
      <w:hyperlink r:id="rId30" w:history="1">
        <w:r w:rsidR="008C7E87" w:rsidRPr="006B5104">
          <w:rPr>
            <w:rStyle w:val="Hyperlink"/>
            <w:rFonts w:ascii="Century Gothic" w:eastAsia="Times New Roman" w:hAnsi="Century Gothic" w:cs="Times New Roman"/>
            <w:b/>
            <w:shd w:val="clear" w:color="auto" w:fill="FFFFFF"/>
          </w:rPr>
          <w:t>SB 243, Revised Uniform Athlete Agents Act</w:t>
        </w:r>
      </w:hyperlink>
      <w:r w:rsidR="008C7E87">
        <w:rPr>
          <w:rFonts w:ascii="Century Gothic" w:eastAsia="Times New Roman" w:hAnsi="Century Gothic" w:cs="Times New Roman"/>
          <w:color w:val="222222"/>
          <w:shd w:val="clear" w:color="auto" w:fill="FFFFFF"/>
        </w:rPr>
        <w:t xml:space="preserve">, by Sen. Lyle </w:t>
      </w:r>
      <w:proofErr w:type="spellStart"/>
      <w:r w:rsidR="008C7E87">
        <w:rPr>
          <w:rFonts w:ascii="Century Gothic" w:eastAsia="Times New Roman" w:hAnsi="Century Gothic" w:cs="Times New Roman"/>
          <w:color w:val="222222"/>
          <w:shd w:val="clear" w:color="auto" w:fill="FFFFFF"/>
        </w:rPr>
        <w:t>Hillyard</w:t>
      </w:r>
      <w:proofErr w:type="spellEnd"/>
      <w:r w:rsidR="008C7E87">
        <w:rPr>
          <w:rFonts w:ascii="Century Gothic" w:eastAsia="Times New Roman" w:hAnsi="Century Gothic" w:cs="Times New Roman"/>
          <w:color w:val="222222"/>
          <w:shd w:val="clear" w:color="auto" w:fill="FFFFFF"/>
        </w:rPr>
        <w:t>, updates existing state statute related to the recruitment and contracting of collegiate athletes. The legislation clarifies definitions, expands notification requirements and provides for reciprocal registration of athletes between states.</w:t>
      </w:r>
    </w:p>
    <w:p w14:paraId="7076F846" w14:textId="77777777" w:rsidR="008C7E87" w:rsidRPr="006B5104" w:rsidRDefault="008C7E87" w:rsidP="008C7E87">
      <w:pPr>
        <w:rPr>
          <w:rFonts w:ascii="Century Gothic" w:eastAsia="Times New Roman" w:hAnsi="Century Gothic" w:cs="Times New Roman"/>
          <w:color w:val="222222"/>
          <w:shd w:val="clear" w:color="auto" w:fill="FFFFFF"/>
        </w:rPr>
      </w:pPr>
    </w:p>
    <w:p w14:paraId="1F1F90B0" w14:textId="77777777" w:rsidR="008C7E87" w:rsidRDefault="00FB4943" w:rsidP="008C7E87">
      <w:pPr>
        <w:rPr>
          <w:rFonts w:ascii="Century Gothic" w:eastAsia="Times New Roman" w:hAnsi="Century Gothic" w:cs="Times New Roman"/>
          <w:color w:val="222222"/>
          <w:shd w:val="clear" w:color="auto" w:fill="FFFFFF"/>
        </w:rPr>
      </w:pPr>
      <w:hyperlink r:id="rId31" w:history="1">
        <w:r w:rsidR="008C7E87">
          <w:rPr>
            <w:rStyle w:val="Hyperlink"/>
            <w:rFonts w:ascii="Century Gothic" w:eastAsia="Times New Roman" w:hAnsi="Century Gothic" w:cs="Times New Roman"/>
            <w:b/>
            <w:bCs/>
            <w:shd w:val="clear" w:color="auto" w:fill="FFFFFF"/>
          </w:rPr>
          <w:t>*</w:t>
        </w:r>
        <w:r w:rsidR="008C7E87">
          <w:rPr>
            <w:rStyle w:val="Hyperlink"/>
            <w:rFonts w:ascii="Century Gothic" w:eastAsia="Times New Roman" w:hAnsi="Century Gothic" w:cs="Times New Roman"/>
            <w:b/>
            <w:shd w:val="clear" w:color="auto" w:fill="FFFFFF"/>
          </w:rPr>
          <w:t>S</w:t>
        </w:r>
        <w:r w:rsidR="008C7E87" w:rsidRPr="006B5104">
          <w:rPr>
            <w:rStyle w:val="Hyperlink"/>
            <w:rFonts w:ascii="Century Gothic" w:eastAsia="Times New Roman" w:hAnsi="Century Gothic" w:cs="Times New Roman"/>
            <w:b/>
            <w:shd w:val="clear" w:color="auto" w:fill="FFFFFF"/>
          </w:rPr>
          <w:t>B 256, Regents Scholarship Amendments</w:t>
        </w:r>
      </w:hyperlink>
      <w:r w:rsidR="008C7E87" w:rsidRPr="006B5104">
        <w:rPr>
          <w:rFonts w:ascii="Century Gothic" w:eastAsia="Times New Roman" w:hAnsi="Century Gothic" w:cs="Times New Roman"/>
          <w:color w:val="222222"/>
          <w:shd w:val="clear" w:color="auto" w:fill="FFFFFF"/>
        </w:rPr>
        <w:t xml:space="preserve">, by Sen. Lyle </w:t>
      </w:r>
      <w:proofErr w:type="spellStart"/>
      <w:r w:rsidR="008C7E87" w:rsidRPr="006B5104">
        <w:rPr>
          <w:rFonts w:ascii="Century Gothic" w:eastAsia="Times New Roman" w:hAnsi="Century Gothic" w:cs="Times New Roman"/>
          <w:color w:val="222222"/>
          <w:shd w:val="clear" w:color="auto" w:fill="FFFFFF"/>
        </w:rPr>
        <w:t>Hillyard</w:t>
      </w:r>
      <w:proofErr w:type="spellEnd"/>
      <w:r w:rsidR="008C7E87">
        <w:rPr>
          <w:rFonts w:ascii="Century Gothic" w:eastAsia="Times New Roman" w:hAnsi="Century Gothic" w:cs="Times New Roman"/>
          <w:color w:val="222222"/>
          <w:shd w:val="clear" w:color="auto" w:fill="FFFFFF"/>
        </w:rPr>
        <w:t>,</w:t>
      </w:r>
      <w:r w:rsidR="008C7E87" w:rsidRPr="006B5104">
        <w:rPr>
          <w:rFonts w:ascii="Century Gothic" w:eastAsia="Times New Roman" w:hAnsi="Century Gothic" w:cs="Times New Roman"/>
          <w:color w:val="222222"/>
          <w:shd w:val="clear" w:color="auto" w:fill="FFFFFF"/>
        </w:rPr>
        <w:t xml:space="preserve"> makes major administrative changes to the scholarship program to improve the student application experience as well as enhance coordination with institutions the award recipients attend. This will ensure better use of state aid resources as well as create an overall better experience for students. This legislation does not alter or weaken the existing academic requirements for the schola</w:t>
      </w:r>
      <w:r w:rsidR="008C7E87">
        <w:rPr>
          <w:rFonts w:ascii="Century Gothic" w:eastAsia="Times New Roman" w:hAnsi="Century Gothic" w:cs="Times New Roman"/>
          <w:color w:val="222222"/>
          <w:shd w:val="clear" w:color="auto" w:fill="FFFFFF"/>
        </w:rPr>
        <w:t>rship. It also removes</w:t>
      </w:r>
      <w:r w:rsidR="008C7E87" w:rsidRPr="006B5104">
        <w:rPr>
          <w:rFonts w:ascii="Century Gothic" w:eastAsia="Times New Roman" w:hAnsi="Century Gothic" w:cs="Times New Roman"/>
          <w:color w:val="222222"/>
          <w:shd w:val="clear" w:color="auto" w:fill="FFFFFF"/>
        </w:rPr>
        <w:t xml:space="preserve"> ou</w:t>
      </w:r>
      <w:r w:rsidR="008C7E87">
        <w:rPr>
          <w:rFonts w:ascii="Century Gothic" w:eastAsia="Times New Roman" w:hAnsi="Century Gothic" w:cs="Times New Roman"/>
          <w:color w:val="222222"/>
          <w:shd w:val="clear" w:color="auto" w:fill="FFFFFF"/>
        </w:rPr>
        <w:t>tdated statute.</w:t>
      </w:r>
    </w:p>
    <w:p w14:paraId="18FE8223" w14:textId="77777777" w:rsidR="008C7E87" w:rsidRDefault="008C7E87" w:rsidP="008C7E87">
      <w:pPr>
        <w:rPr>
          <w:rFonts w:ascii="Century Gothic" w:eastAsia="Times New Roman" w:hAnsi="Century Gothic" w:cs="Times New Roman"/>
          <w:color w:val="222222"/>
          <w:shd w:val="clear" w:color="auto" w:fill="FFFFFF"/>
        </w:rPr>
      </w:pPr>
    </w:p>
    <w:p w14:paraId="76D33627" w14:textId="77777777" w:rsidR="008C7E87" w:rsidRPr="00384640" w:rsidRDefault="00FB4943" w:rsidP="008C7E87">
      <w:pPr>
        <w:rPr>
          <w:rFonts w:ascii="Century Gothic" w:eastAsia="Times New Roman" w:hAnsi="Century Gothic" w:cs="Times New Roman"/>
          <w:color w:val="000000" w:themeColor="text1"/>
          <w:shd w:val="clear" w:color="auto" w:fill="FFFFFF"/>
        </w:rPr>
      </w:pPr>
      <w:hyperlink r:id="rId32" w:history="1">
        <w:r w:rsidR="008C7E87" w:rsidRPr="000C799D">
          <w:rPr>
            <w:rStyle w:val="Hyperlink"/>
            <w:rFonts w:ascii="Century Gothic" w:eastAsia="Times New Roman" w:hAnsi="Century Gothic" w:cs="Times New Roman"/>
            <w:b/>
            <w:shd w:val="clear" w:color="auto" w:fill="FFFFFF"/>
          </w:rPr>
          <w:t>SB 263 (2</w:t>
        </w:r>
        <w:r w:rsidR="008C7E87" w:rsidRPr="000C799D">
          <w:rPr>
            <w:rStyle w:val="Hyperlink"/>
            <w:rFonts w:ascii="Century Gothic" w:eastAsia="Times New Roman" w:hAnsi="Century Gothic" w:cs="Times New Roman"/>
            <w:b/>
            <w:shd w:val="clear" w:color="auto" w:fill="FFFFFF"/>
            <w:vertAlign w:val="superscript"/>
          </w:rPr>
          <w:t>nd</w:t>
        </w:r>
        <w:r w:rsidR="008C7E87" w:rsidRPr="000C799D">
          <w:rPr>
            <w:rStyle w:val="Hyperlink"/>
            <w:rFonts w:ascii="Century Gothic" w:eastAsia="Times New Roman" w:hAnsi="Century Gothic" w:cs="Times New Roman"/>
            <w:b/>
            <w:shd w:val="clear" w:color="auto" w:fill="FFFFFF"/>
          </w:rPr>
          <w:t xml:space="preserve"> Sub.), Work-Based Learning Amendments</w:t>
        </w:r>
      </w:hyperlink>
      <w:r w:rsidR="008C7E87">
        <w:rPr>
          <w:rFonts w:ascii="Century Gothic" w:eastAsia="Times New Roman" w:hAnsi="Century Gothic" w:cs="Times New Roman"/>
          <w:color w:val="222222"/>
          <w:shd w:val="clear" w:color="auto" w:fill="FFFFFF"/>
        </w:rPr>
        <w:t xml:space="preserve">, </w:t>
      </w:r>
      <w:r w:rsidR="008C7E87" w:rsidRPr="00384640">
        <w:rPr>
          <w:rFonts w:ascii="Century Gothic" w:eastAsia="Times New Roman" w:hAnsi="Century Gothic" w:cs="Times New Roman"/>
          <w:color w:val="000000" w:themeColor="text1"/>
          <w:shd w:val="clear" w:color="auto" w:fill="FFFFFF"/>
        </w:rPr>
        <w:t>by Sen. Howard Stephenson, charges the Career and Technical Education Board to study work-based learning and the associated benefits and challenges.</w:t>
      </w:r>
    </w:p>
    <w:p w14:paraId="1FD17446" w14:textId="77777777" w:rsidR="008C7E87" w:rsidRDefault="008C7E87" w:rsidP="008C7E87">
      <w:pPr>
        <w:rPr>
          <w:rFonts w:ascii="Century Gothic" w:eastAsia="Times New Roman" w:hAnsi="Century Gothic" w:cs="Times New Roman"/>
          <w:color w:val="222222"/>
          <w:shd w:val="clear" w:color="auto" w:fill="FFFFFF"/>
        </w:rPr>
      </w:pPr>
    </w:p>
    <w:p w14:paraId="41666FE1" w14:textId="77777777" w:rsidR="008C7E87" w:rsidRDefault="00FB4943" w:rsidP="008C7E87">
      <w:pPr>
        <w:rPr>
          <w:rFonts w:ascii="Century Gothic" w:eastAsia="Times New Roman" w:hAnsi="Century Gothic" w:cs="Times New Roman"/>
          <w:color w:val="222222"/>
          <w:shd w:val="clear" w:color="auto" w:fill="FFFFFF"/>
        </w:rPr>
      </w:pPr>
      <w:hyperlink r:id="rId33" w:history="1">
        <w:r w:rsidR="008C7E87" w:rsidRPr="000E1FA6">
          <w:rPr>
            <w:rStyle w:val="Hyperlink"/>
            <w:rFonts w:ascii="Century Gothic" w:eastAsia="Times New Roman" w:hAnsi="Century Gothic" w:cs="Times New Roman"/>
            <w:b/>
            <w:shd w:val="clear" w:color="auto" w:fill="FFFFFF"/>
          </w:rPr>
          <w:t>SJR 1, Joint Rules Resolution on Funding Mix Determinations</w:t>
        </w:r>
      </w:hyperlink>
      <w:r w:rsidR="008C7E87">
        <w:rPr>
          <w:rFonts w:ascii="Century Gothic" w:eastAsia="Times New Roman" w:hAnsi="Century Gothic" w:cs="Times New Roman"/>
          <w:color w:val="222222"/>
          <w:shd w:val="clear" w:color="auto" w:fill="FFFFFF"/>
        </w:rPr>
        <w:t xml:space="preserve">, Sen. Jerry Stevenson, </w:t>
      </w:r>
      <w:r w:rsidR="008C7E87" w:rsidRPr="006B5104">
        <w:rPr>
          <w:rFonts w:ascii="Century Gothic" w:eastAsia="Times New Roman" w:hAnsi="Century Gothic" w:cs="Times New Roman"/>
          <w:color w:val="222222"/>
          <w:shd w:val="clear" w:color="auto" w:fill="FFFFFF"/>
        </w:rPr>
        <w:t>Adjusts the funding ratio of state funds vs. tuition funds that have funded compensation costs to higher education. For over twenty years, the Legislature and public higher education have held constant the ratio funding compensation costs at 75% from state funds and 25% of tuition funds. This resolution defaults this ratio for compensation to follow the present overall mix of state dollars and tuition dollars currently funding higher education – which has been about 50% state funds and 50% tuition for the past few years. Intent language was adopted in this year’s budget bills to hold the historical 75/25 ratio for the next two fiscal years.</w:t>
      </w:r>
    </w:p>
    <w:p w14:paraId="11DEEB66" w14:textId="7AF88161" w:rsidR="008C7E87" w:rsidRPr="006B5104" w:rsidRDefault="008C7E87" w:rsidP="008C7E87">
      <w:pPr>
        <w:rPr>
          <w:rFonts w:ascii="Century Gothic" w:eastAsia="Times New Roman" w:hAnsi="Century Gothic" w:cs="Times New Roman"/>
          <w:color w:val="222222"/>
          <w:shd w:val="clear" w:color="auto" w:fill="FFFFFF"/>
        </w:rPr>
      </w:pPr>
      <w:r>
        <w:rPr>
          <w:rFonts w:ascii="Century Gothic" w:hAnsi="Century Gothic"/>
          <w:noProof/>
        </w:rPr>
        <mc:AlternateContent>
          <mc:Choice Requires="wps">
            <w:drawing>
              <wp:anchor distT="0" distB="0" distL="114300" distR="114300" simplePos="0" relativeHeight="251668480" behindDoc="0" locked="0" layoutInCell="1" allowOverlap="1" wp14:anchorId="4702AEE3" wp14:editId="28767D86">
                <wp:simplePos x="0" y="0"/>
                <wp:positionH relativeFrom="column">
                  <wp:posOffset>-4156</wp:posOffset>
                </wp:positionH>
                <wp:positionV relativeFrom="paragraph">
                  <wp:posOffset>196042</wp:posOffset>
                </wp:positionV>
                <wp:extent cx="6400800" cy="0"/>
                <wp:effectExtent l="0" t="0" r="25400" b="25400"/>
                <wp:wrapNone/>
                <wp:docPr id="7" name="Straight Connector 7"/>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F2A526" id="Straight Connector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5.45pt" to="503.65pt,15.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" strokecolor="black [3200]" strokeweight=".5pt">
                <v:stroke joinstyle="miter"/>
              </v:line>
            </w:pict>
          </mc:Fallback>
        </mc:AlternateContent>
      </w:r>
    </w:p>
    <w:p w14:paraId="0D5A0BEC" w14:textId="494519B8" w:rsidR="0016603D" w:rsidRPr="00E84DF4" w:rsidRDefault="0016603D" w:rsidP="0033204D">
      <w:pPr>
        <w:rPr>
          <w:rFonts w:ascii="Century Gothic" w:eastAsia="Times New Roman" w:hAnsi="Century Gothic" w:cs="Times New Roman"/>
          <w:color w:val="222222"/>
          <w:sz w:val="26"/>
          <w:szCs w:val="26"/>
          <w:shd w:val="clear" w:color="auto" w:fill="FFFFFF"/>
        </w:rPr>
      </w:pPr>
    </w:p>
    <w:p w14:paraId="4E543244" w14:textId="4D585CC0" w:rsidR="00004051" w:rsidRPr="00E84DF4" w:rsidRDefault="0012553C" w:rsidP="0033204D">
      <w:pPr>
        <w:rPr>
          <w:rFonts w:ascii="Century Gothic" w:eastAsia="Times New Roman" w:hAnsi="Century Gothic" w:cs="Times New Roman"/>
          <w:b/>
          <w:color w:val="222222"/>
          <w:sz w:val="26"/>
          <w:szCs w:val="26"/>
          <w:shd w:val="clear" w:color="auto" w:fill="FFFFFF"/>
        </w:rPr>
      </w:pPr>
      <w:r>
        <w:rPr>
          <w:rFonts w:ascii="Century Gothic" w:eastAsia="Times New Roman" w:hAnsi="Century Gothic" w:cs="Times New Roman"/>
          <w:b/>
          <w:color w:val="222222"/>
          <w:sz w:val="26"/>
          <w:szCs w:val="26"/>
          <w:shd w:val="clear" w:color="auto" w:fill="FFFFFF"/>
        </w:rPr>
        <w:t>Failed Legislation</w:t>
      </w:r>
    </w:p>
    <w:p w14:paraId="63BB81EE" w14:textId="77777777" w:rsidR="008C7E87" w:rsidRPr="006B5104" w:rsidRDefault="008C7E87" w:rsidP="008C7E87">
      <w:pPr>
        <w:rPr>
          <w:rFonts w:ascii="Century Gothic" w:hAnsi="Century Gothic" w:cs="Times New Roman"/>
        </w:rPr>
      </w:pPr>
    </w:p>
    <w:p w14:paraId="2B747A7A" w14:textId="77777777" w:rsidR="008C7E87" w:rsidRDefault="00FB4943" w:rsidP="008C7E87">
      <w:pPr>
        <w:rPr>
          <w:rFonts w:ascii="Century Gothic" w:eastAsia="Lato" w:hAnsi="Century Gothic" w:cs="Times New Roman"/>
          <w:color w:val="222222"/>
        </w:rPr>
      </w:pPr>
      <w:hyperlink r:id="rId34">
        <w:r w:rsidR="008C7E87" w:rsidRPr="006B5104">
          <w:rPr>
            <w:rFonts w:ascii="Century Gothic" w:eastAsia="Lato" w:hAnsi="Century Gothic" w:cs="Times New Roman"/>
            <w:b/>
            <w:color w:val="1155CC"/>
            <w:highlight w:val="white"/>
            <w:u w:val="single"/>
          </w:rPr>
          <w:t>**HB 103, Campus Anti-</w:t>
        </w:r>
        <w:proofErr w:type="gramStart"/>
        <w:r w:rsidR="008C7E87" w:rsidRPr="006B5104">
          <w:rPr>
            <w:rFonts w:ascii="Century Gothic" w:eastAsia="Lato" w:hAnsi="Century Gothic" w:cs="Times New Roman"/>
            <w:b/>
            <w:color w:val="1155CC"/>
            <w:highlight w:val="white"/>
            <w:u w:val="single"/>
          </w:rPr>
          <w:t>harassment</w:t>
        </w:r>
        <w:proofErr w:type="gramEnd"/>
        <w:r w:rsidR="008C7E87" w:rsidRPr="006B5104">
          <w:rPr>
            <w:rFonts w:ascii="Century Gothic" w:eastAsia="Lato" w:hAnsi="Century Gothic" w:cs="Times New Roman"/>
            <w:b/>
            <w:color w:val="1155CC"/>
            <w:highlight w:val="white"/>
            <w:u w:val="single"/>
          </w:rPr>
          <w:t xml:space="preserve"> Act</w:t>
        </w:r>
      </w:hyperlink>
      <w:r w:rsidR="008C7E87" w:rsidRPr="006B5104">
        <w:rPr>
          <w:rFonts w:ascii="Century Gothic" w:eastAsia="Lato" w:hAnsi="Century Gothic" w:cs="Times New Roman"/>
          <w:color w:val="222222"/>
          <w:highlight w:val="white"/>
        </w:rPr>
        <w:t xml:space="preserve"> by Rep. Kim Coleman</w:t>
      </w:r>
      <w:r w:rsidR="008C7E87">
        <w:rPr>
          <w:rFonts w:ascii="Century Gothic" w:eastAsia="Lato" w:hAnsi="Century Gothic" w:cs="Times New Roman"/>
          <w:color w:val="222222"/>
          <w:highlight w:val="white"/>
        </w:rPr>
        <w:t>,</w:t>
      </w:r>
      <w:r w:rsidR="008C7E87" w:rsidRPr="006B5104">
        <w:rPr>
          <w:rFonts w:ascii="Century Gothic" w:eastAsia="Lato" w:hAnsi="Century Gothic" w:cs="Times New Roman"/>
          <w:color w:val="222222"/>
          <w:highlight w:val="white"/>
        </w:rPr>
        <w:t xml:space="preserve"> defines discriminatory harassment and stipulates that an institution of higher education must take action against discriminatory harassment immediately after gaining knowledge of the act. </w:t>
      </w:r>
      <w:r w:rsidR="008C7E87" w:rsidRPr="006B5104">
        <w:rPr>
          <w:rFonts w:ascii="Century Gothic" w:eastAsia="Lato" w:hAnsi="Century Gothic" w:cs="Times New Roman"/>
          <w:color w:val="222222"/>
        </w:rPr>
        <w:t>The bill would have created conflicting statutes and a potential for significant confusion with existing laws related to workplace and school harassment.</w:t>
      </w:r>
    </w:p>
    <w:p w14:paraId="2E8B6D31" w14:textId="77777777" w:rsidR="008C7E87" w:rsidRDefault="008C7E87" w:rsidP="008C7E87">
      <w:pPr>
        <w:rPr>
          <w:rFonts w:ascii="Century Gothic" w:eastAsia="Lato" w:hAnsi="Century Gothic" w:cs="Times New Roman"/>
          <w:color w:val="222222"/>
        </w:rPr>
      </w:pPr>
    </w:p>
    <w:p w14:paraId="35E8C698" w14:textId="77777777" w:rsidR="008C7E87" w:rsidRPr="006B5104" w:rsidRDefault="00FB4943" w:rsidP="008C7E87">
      <w:pPr>
        <w:rPr>
          <w:rFonts w:ascii="Century Gothic" w:hAnsi="Century Gothic" w:cs="Times New Roman"/>
        </w:rPr>
      </w:pPr>
      <w:hyperlink r:id="rId35" w:history="1">
        <w:r w:rsidR="008C7E87" w:rsidRPr="006B5104">
          <w:rPr>
            <w:rStyle w:val="Hyperlink"/>
            <w:rFonts w:ascii="Century Gothic" w:eastAsia="Lato" w:hAnsi="Century Gothic" w:cs="Times New Roman"/>
            <w:b/>
          </w:rPr>
          <w:t>HB 120, University Student Housing Construction Oversight</w:t>
        </w:r>
      </w:hyperlink>
      <w:r w:rsidR="008C7E87">
        <w:rPr>
          <w:rFonts w:ascii="Century Gothic" w:eastAsia="Lato" w:hAnsi="Century Gothic" w:cs="Times New Roman"/>
          <w:b/>
          <w:color w:val="222222"/>
        </w:rPr>
        <w:t xml:space="preserve">, </w:t>
      </w:r>
      <w:r w:rsidR="008C7E87">
        <w:rPr>
          <w:rFonts w:ascii="Century Gothic" w:eastAsia="Lato" w:hAnsi="Century Gothic" w:cs="Times New Roman"/>
          <w:color w:val="222222"/>
        </w:rPr>
        <w:t>by Rep. John Westwood, exempts higher education institutions projects for the construction of student housing from the supervision of the Division of Facilities Construction and Management.</w:t>
      </w:r>
    </w:p>
    <w:p w14:paraId="3E178E3C" w14:textId="77777777" w:rsidR="008C7E87" w:rsidRPr="006B5104" w:rsidRDefault="008C7E87" w:rsidP="008C7E87">
      <w:pPr>
        <w:rPr>
          <w:rFonts w:ascii="Century Gothic" w:hAnsi="Century Gothic" w:cs="Times New Roman"/>
        </w:rPr>
      </w:pPr>
    </w:p>
    <w:p w14:paraId="28B8658C" w14:textId="77777777" w:rsidR="008C7E87" w:rsidRPr="006B5104" w:rsidRDefault="00FB4943" w:rsidP="008C7E87">
      <w:pPr>
        <w:rPr>
          <w:rFonts w:ascii="Century Gothic" w:eastAsia="Wawati SC" w:hAnsi="Century Gothic" w:cs="Times New Roman"/>
          <w:color w:val="222222"/>
        </w:rPr>
      </w:pPr>
      <w:hyperlink r:id="rId36" w:history="1">
        <w:r w:rsidR="008C7E87" w:rsidRPr="006B5104">
          <w:rPr>
            <w:rStyle w:val="Hyperlink"/>
            <w:rFonts w:ascii="Century Gothic" w:eastAsia="Wawati SC" w:hAnsi="Century Gothic" w:cs="Times New Roman"/>
            <w:b/>
          </w:rPr>
          <w:t>**HB 275, Utah Administrative Rulemaking Act Amendments</w:t>
        </w:r>
      </w:hyperlink>
      <w:r w:rsidR="008C7E87" w:rsidRPr="006B5104">
        <w:rPr>
          <w:rFonts w:ascii="Century Gothic" w:eastAsia="Wawati SC" w:hAnsi="Century Gothic" w:cs="Times New Roman"/>
          <w:b/>
          <w:color w:val="222222"/>
        </w:rPr>
        <w:t xml:space="preserve">, </w:t>
      </w:r>
      <w:r w:rsidR="008C7E87" w:rsidRPr="006B5104">
        <w:rPr>
          <w:rFonts w:ascii="Century Gothic" w:eastAsia="Wawati SC" w:hAnsi="Century Gothic" w:cs="Times New Roman"/>
          <w:color w:val="222222"/>
        </w:rPr>
        <w:t>by Rep. Brian Green</w:t>
      </w:r>
      <w:r w:rsidR="008C7E87">
        <w:rPr>
          <w:rFonts w:ascii="Century Gothic" w:eastAsia="Wawati SC" w:hAnsi="Century Gothic" w:cs="Times New Roman"/>
          <w:color w:val="222222"/>
        </w:rPr>
        <w:t>,</w:t>
      </w:r>
      <w:r w:rsidR="008C7E87" w:rsidRPr="006B5104">
        <w:rPr>
          <w:rFonts w:ascii="Century Gothic" w:eastAsia="Wawati SC" w:hAnsi="Century Gothic" w:cs="Times New Roman"/>
          <w:color w:val="222222"/>
        </w:rPr>
        <w:t xml:space="preserve"> removes the exemption for higher education from </w:t>
      </w:r>
      <w:r w:rsidR="008C7E87">
        <w:rPr>
          <w:rFonts w:ascii="Century Gothic" w:eastAsia="Wawati SC" w:hAnsi="Century Gothic" w:cs="Times New Roman"/>
          <w:color w:val="222222"/>
        </w:rPr>
        <w:t xml:space="preserve">the </w:t>
      </w:r>
      <w:r w:rsidR="008C7E87" w:rsidRPr="006B5104">
        <w:rPr>
          <w:rFonts w:ascii="Century Gothic" w:eastAsia="Wawati SC" w:hAnsi="Century Gothic" w:cs="Times New Roman"/>
          <w:color w:val="222222"/>
        </w:rPr>
        <w:t xml:space="preserve">Administrative Rulemaking Act for policies related to students. Currently, there are almost 15,000 policies maintained by the Board of Regents and USHE institutions that would need to be reviewed and </w:t>
      </w:r>
      <w:r w:rsidR="008C7E87">
        <w:rPr>
          <w:rFonts w:ascii="Century Gothic" w:eastAsia="Wawati SC" w:hAnsi="Century Gothic" w:cs="Times New Roman"/>
          <w:color w:val="222222"/>
        </w:rPr>
        <w:t xml:space="preserve">possibly </w:t>
      </w:r>
      <w:r w:rsidR="008C7E87" w:rsidRPr="006B5104">
        <w:rPr>
          <w:rFonts w:ascii="Century Gothic" w:eastAsia="Wawati SC" w:hAnsi="Century Gothic" w:cs="Times New Roman"/>
          <w:color w:val="222222"/>
        </w:rPr>
        <w:t>submitted</w:t>
      </w:r>
      <w:r w:rsidR="008C7E87">
        <w:rPr>
          <w:rFonts w:ascii="Century Gothic" w:eastAsia="Wawati SC" w:hAnsi="Century Gothic" w:cs="Times New Roman"/>
          <w:color w:val="222222"/>
        </w:rPr>
        <w:t xml:space="preserve"> for administrative rulemaking.</w:t>
      </w:r>
    </w:p>
    <w:p w14:paraId="451C65DB" w14:textId="77777777" w:rsidR="008C7E87" w:rsidRPr="006B5104" w:rsidRDefault="008C7E87" w:rsidP="008C7E87">
      <w:pPr>
        <w:rPr>
          <w:rFonts w:ascii="Century Gothic" w:eastAsia="Wawati SC" w:hAnsi="Century Gothic" w:cs="Times New Roman"/>
          <w:color w:val="222222"/>
        </w:rPr>
      </w:pPr>
    </w:p>
    <w:p w14:paraId="6D7C4CA9" w14:textId="77777777" w:rsidR="008C7E87" w:rsidRPr="006B5104" w:rsidRDefault="00FB4943" w:rsidP="008C7E87">
      <w:pPr>
        <w:rPr>
          <w:rFonts w:ascii="Century Gothic" w:eastAsia="Wawati SC" w:hAnsi="Century Gothic" w:cs="Times New Roman"/>
          <w:color w:val="222222"/>
        </w:rPr>
      </w:pPr>
      <w:hyperlink r:id="rId37" w:history="1">
        <w:r w:rsidR="008C7E87" w:rsidRPr="006B5104">
          <w:rPr>
            <w:rStyle w:val="Hyperlink"/>
            <w:rFonts w:ascii="Century Gothic" w:hAnsi="Century Gothic" w:cs="Times New Roman"/>
            <w:b/>
          </w:rPr>
          <w:t>**HB 284, Student Right to Active Counsel</w:t>
        </w:r>
      </w:hyperlink>
      <w:r w:rsidR="008C7E87" w:rsidRPr="006B5104">
        <w:rPr>
          <w:rFonts w:ascii="Century Gothic" w:hAnsi="Century Gothic" w:cs="Times New Roman"/>
          <w:b/>
        </w:rPr>
        <w:t>,</w:t>
      </w:r>
      <w:r w:rsidR="008C7E87" w:rsidRPr="006B5104">
        <w:rPr>
          <w:rFonts w:ascii="Century Gothic" w:hAnsi="Century Gothic" w:cs="Times New Roman"/>
        </w:rPr>
        <w:t xml:space="preserve"> by Rep</w:t>
      </w:r>
      <w:r w:rsidR="008C7E87" w:rsidRPr="006B5104">
        <w:rPr>
          <w:rFonts w:ascii="Century Gothic" w:eastAsia="Wawati SC" w:hAnsi="Century Gothic" w:cs="Times New Roman"/>
          <w:color w:val="222222"/>
        </w:rPr>
        <w:t>. Kim Coleman</w:t>
      </w:r>
      <w:r w:rsidR="008C7E87">
        <w:rPr>
          <w:rFonts w:ascii="Century Gothic" w:eastAsia="Wawati SC" w:hAnsi="Century Gothic" w:cs="Times New Roman"/>
          <w:color w:val="222222"/>
        </w:rPr>
        <w:t>,</w:t>
      </w:r>
      <w:r w:rsidR="008C7E87" w:rsidRPr="006B5104">
        <w:rPr>
          <w:rFonts w:ascii="Century Gothic" w:eastAsia="Wawati SC" w:hAnsi="Century Gothic" w:cs="Times New Roman"/>
          <w:color w:val="222222"/>
        </w:rPr>
        <w:t xml:space="preserve"> introduced similar legislation in the 2016 Session. The Legislature ultimately did not adopt the proposed legislation. In July 2016, the Board of Regents adopted policy that outlines required due process for disciplinary actions and included the role of active counsel in certain proceedings. This bill is unnecessary given the policy already adopted.</w:t>
      </w:r>
    </w:p>
    <w:p w14:paraId="5495E1E2" w14:textId="77777777" w:rsidR="008C7E87" w:rsidRPr="006B5104" w:rsidRDefault="008C7E87" w:rsidP="008C7E87">
      <w:pPr>
        <w:rPr>
          <w:rFonts w:ascii="Century Gothic" w:hAnsi="Century Gothic" w:cs="Times New Roman"/>
        </w:rPr>
      </w:pPr>
    </w:p>
    <w:p w14:paraId="150789EC" w14:textId="77777777" w:rsidR="008C7E87" w:rsidRPr="006B5104" w:rsidRDefault="00FB4943" w:rsidP="008C7E87">
      <w:pPr>
        <w:rPr>
          <w:rFonts w:ascii="Century Gothic" w:eastAsia="Wawati SC" w:hAnsi="Century Gothic" w:cs="Times New Roman"/>
          <w:color w:val="222222"/>
        </w:rPr>
      </w:pPr>
      <w:hyperlink r:id="rId38" w:history="1">
        <w:r w:rsidR="008C7E87" w:rsidRPr="006B5104">
          <w:rPr>
            <w:rStyle w:val="Hyperlink"/>
            <w:rFonts w:ascii="Century Gothic" w:eastAsia="Wawati SC" w:hAnsi="Century Gothic" w:cs="Times New Roman"/>
            <w:b/>
          </w:rPr>
          <w:t>HB 326, Campus Sexual Violence Protection Act</w:t>
        </w:r>
      </w:hyperlink>
      <w:r w:rsidR="008C7E87" w:rsidRPr="006B5104">
        <w:rPr>
          <w:rFonts w:ascii="Century Gothic" w:eastAsia="Wawati SC" w:hAnsi="Century Gothic" w:cs="Times New Roman"/>
          <w:color w:val="222222"/>
        </w:rPr>
        <w:t>, by Rep. Kim Coleman</w:t>
      </w:r>
      <w:r w:rsidR="008C7E87">
        <w:rPr>
          <w:rFonts w:ascii="Century Gothic" w:eastAsia="Wawati SC" w:hAnsi="Century Gothic" w:cs="Times New Roman"/>
          <w:color w:val="222222"/>
        </w:rPr>
        <w:t>,</w:t>
      </w:r>
      <w:r w:rsidR="008C7E87" w:rsidRPr="006B5104">
        <w:rPr>
          <w:rFonts w:ascii="Century Gothic" w:eastAsia="Wawati SC" w:hAnsi="Century Gothic" w:cs="Times New Roman"/>
          <w:color w:val="222222"/>
        </w:rPr>
        <w:t xml:space="preserve"> allows an institution of higher education to report an allegation of sexual violence to a law enforcement agency and enacts other provisions related to the duties of an institution of higher education in circumstan</w:t>
      </w:r>
      <w:r w:rsidR="008C7E87">
        <w:rPr>
          <w:rFonts w:ascii="Century Gothic" w:eastAsia="Wawati SC" w:hAnsi="Century Gothic" w:cs="Times New Roman"/>
          <w:color w:val="222222"/>
        </w:rPr>
        <w:t>ces related to sexual violence.</w:t>
      </w:r>
    </w:p>
    <w:p w14:paraId="5D42EF03" w14:textId="77777777" w:rsidR="008C7E87" w:rsidRPr="006B5104" w:rsidRDefault="008C7E87" w:rsidP="008C7E87">
      <w:pPr>
        <w:rPr>
          <w:rFonts w:ascii="Century Gothic" w:eastAsia="Wawati SC" w:hAnsi="Century Gothic" w:cs="Times New Roman"/>
          <w:color w:val="222222"/>
        </w:rPr>
      </w:pPr>
    </w:p>
    <w:p w14:paraId="6BD81C7B" w14:textId="77777777" w:rsidR="008C7E87" w:rsidRDefault="00FB4943" w:rsidP="008C7E87">
      <w:pPr>
        <w:rPr>
          <w:rFonts w:ascii="Century Gothic" w:eastAsia="Wawati SC" w:hAnsi="Century Gothic" w:cs="Times New Roman"/>
          <w:color w:val="222222"/>
        </w:rPr>
      </w:pPr>
      <w:hyperlink r:id="rId39" w:history="1">
        <w:r w:rsidR="008C7E87" w:rsidRPr="006B5104">
          <w:rPr>
            <w:rStyle w:val="Hyperlink"/>
            <w:rFonts w:ascii="Century Gothic" w:eastAsia="Wawati SC" w:hAnsi="Century Gothic" w:cs="Times New Roman"/>
            <w:b/>
          </w:rPr>
          <w:t>**HB 334, Academic Freedom and Protection Act</w:t>
        </w:r>
      </w:hyperlink>
      <w:r w:rsidR="008C7E87" w:rsidRPr="006B5104">
        <w:rPr>
          <w:rFonts w:ascii="Century Gothic" w:eastAsia="Wawati SC" w:hAnsi="Century Gothic" w:cs="Times New Roman"/>
          <w:color w:val="222222"/>
        </w:rPr>
        <w:t>, by Rep. Kim Coleman</w:t>
      </w:r>
      <w:r w:rsidR="008C7E87">
        <w:rPr>
          <w:rFonts w:ascii="Century Gothic" w:eastAsia="Wawati SC" w:hAnsi="Century Gothic" w:cs="Times New Roman"/>
          <w:color w:val="222222"/>
        </w:rPr>
        <w:t>,</w:t>
      </w:r>
      <w:r w:rsidR="008C7E87" w:rsidRPr="006B5104">
        <w:rPr>
          <w:rFonts w:ascii="Century Gothic" w:eastAsia="Wawati SC" w:hAnsi="Century Gothic" w:cs="Times New Roman"/>
          <w:color w:val="222222"/>
        </w:rPr>
        <w:t xml:space="preserve"> prohibits a USHE institution from taking adverse action against faculty in retaliation for certain expression. Existing Regents’ policy already requires institutions to protect academic freedom.</w:t>
      </w:r>
    </w:p>
    <w:p w14:paraId="5CC98515" w14:textId="77777777" w:rsidR="008C7E87" w:rsidRDefault="008C7E87" w:rsidP="008C7E87">
      <w:pPr>
        <w:rPr>
          <w:rFonts w:ascii="Century Gothic" w:eastAsia="Wawati SC" w:hAnsi="Century Gothic" w:cs="Times New Roman"/>
          <w:color w:val="222222"/>
        </w:rPr>
      </w:pPr>
    </w:p>
    <w:p w14:paraId="3A034DC5" w14:textId="77777777" w:rsidR="008C7E87" w:rsidRPr="006B5104" w:rsidRDefault="00FB4943" w:rsidP="008C7E87">
      <w:pPr>
        <w:rPr>
          <w:rFonts w:ascii="Century Gothic" w:eastAsia="Wawati SC" w:hAnsi="Century Gothic" w:cs="Times New Roman"/>
          <w:color w:val="222222"/>
        </w:rPr>
      </w:pPr>
      <w:hyperlink r:id="rId40" w:anchor="gid=0" w:history="1">
        <w:r w:rsidR="008C7E87" w:rsidRPr="006B5104">
          <w:rPr>
            <w:rStyle w:val="Hyperlink"/>
            <w:rFonts w:ascii="Century Gothic" w:eastAsia="Wawati SC" w:hAnsi="Century Gothic" w:cs="Times New Roman"/>
            <w:b/>
          </w:rPr>
          <w:t>SB 78 (2</w:t>
        </w:r>
        <w:r w:rsidR="008C7E87" w:rsidRPr="006B5104">
          <w:rPr>
            <w:rStyle w:val="Hyperlink"/>
            <w:rFonts w:ascii="Century Gothic" w:eastAsia="Wawati SC" w:hAnsi="Century Gothic" w:cs="Times New Roman"/>
            <w:b/>
            <w:vertAlign w:val="superscript"/>
          </w:rPr>
          <w:t>nd</w:t>
        </w:r>
        <w:r w:rsidR="008C7E87" w:rsidRPr="006B5104">
          <w:rPr>
            <w:rStyle w:val="Hyperlink"/>
            <w:rFonts w:ascii="Century Gothic" w:eastAsia="Wawati SC" w:hAnsi="Century Gothic" w:cs="Times New Roman"/>
            <w:b/>
          </w:rPr>
          <w:t xml:space="preserve"> Sub.), Teacher Pedagogical Assessment</w:t>
        </w:r>
      </w:hyperlink>
      <w:r w:rsidR="008C7E87">
        <w:rPr>
          <w:rFonts w:ascii="Century Gothic" w:eastAsia="Wawati SC" w:hAnsi="Century Gothic" w:cs="Times New Roman"/>
          <w:color w:val="222222"/>
        </w:rPr>
        <w:t>, by Sen. Ann Millner, r</w:t>
      </w:r>
      <w:r w:rsidR="008C7E87" w:rsidRPr="006B5104">
        <w:rPr>
          <w:rFonts w:ascii="Century Gothic" w:eastAsia="Wawati SC" w:hAnsi="Century Gothic" w:cs="Times New Roman"/>
          <w:color w:val="222222"/>
        </w:rPr>
        <w:t xml:space="preserve">equires the State Board of </w:t>
      </w:r>
      <w:r w:rsidR="008C7E87">
        <w:rPr>
          <w:rFonts w:ascii="Century Gothic" w:eastAsia="Wawati SC" w:hAnsi="Century Gothic" w:cs="Times New Roman"/>
          <w:color w:val="222222"/>
        </w:rPr>
        <w:t>Education to</w:t>
      </w:r>
      <w:r w:rsidR="008C7E87" w:rsidRPr="006B5104">
        <w:rPr>
          <w:rFonts w:ascii="Century Gothic" w:eastAsia="Wawati SC" w:hAnsi="Century Gothic" w:cs="Times New Roman"/>
          <w:color w:val="222222"/>
        </w:rPr>
        <w:t xml:space="preserve"> establish a teacher pedagogical assessment that is performance based and assesses an individual's pedagogical skills to receive or retain a certain license to teach.</w:t>
      </w:r>
    </w:p>
    <w:p w14:paraId="2BCB61EC" w14:textId="77777777" w:rsidR="008C7E87" w:rsidRPr="006B5104" w:rsidRDefault="008C7E87" w:rsidP="008C7E87">
      <w:pPr>
        <w:rPr>
          <w:rFonts w:ascii="Century Gothic" w:eastAsia="Wawati SC" w:hAnsi="Century Gothic" w:cs="Times New Roman"/>
          <w:color w:val="222222"/>
        </w:rPr>
      </w:pPr>
    </w:p>
    <w:p w14:paraId="34786F08" w14:textId="77777777" w:rsidR="008C7E87" w:rsidRPr="006C4CAE" w:rsidRDefault="00FB4943" w:rsidP="008C7E87">
      <w:pPr>
        <w:rPr>
          <w:rFonts w:ascii="Century Gothic" w:eastAsia="Times New Roman" w:hAnsi="Century Gothic" w:cs="Times New Roman"/>
          <w:color w:val="000000" w:themeColor="text1"/>
          <w:shd w:val="clear" w:color="auto" w:fill="FFFFFF"/>
        </w:rPr>
      </w:pPr>
      <w:hyperlink r:id="rId41" w:history="1">
        <w:r w:rsidR="008C7E87" w:rsidRPr="006B5104">
          <w:rPr>
            <w:rStyle w:val="Hyperlink"/>
            <w:rFonts w:ascii="Century Gothic" w:eastAsia="Times New Roman" w:hAnsi="Century Gothic" w:cs="Times New Roman"/>
            <w:b/>
            <w:shd w:val="clear" w:color="auto" w:fill="FFFFFF"/>
          </w:rPr>
          <w:t>**SB 255, Funding for Education Systems Amendments</w:t>
        </w:r>
      </w:hyperlink>
      <w:r w:rsidR="008C7E87" w:rsidRPr="006B5104">
        <w:rPr>
          <w:rFonts w:ascii="Century Gothic" w:eastAsia="Times New Roman" w:hAnsi="Century Gothic" w:cs="Times New Roman"/>
          <w:color w:val="222222"/>
          <w:shd w:val="clear" w:color="auto" w:fill="FFFFFF"/>
        </w:rPr>
        <w:t xml:space="preserve">, </w:t>
      </w:r>
      <w:r w:rsidR="008C7E87" w:rsidRPr="006C4CAE">
        <w:rPr>
          <w:rFonts w:ascii="Century Gothic" w:eastAsia="Times New Roman" w:hAnsi="Century Gothic" w:cs="Times New Roman"/>
          <w:color w:val="000000" w:themeColor="text1"/>
          <w:shd w:val="clear" w:color="auto" w:fill="FFFFFF"/>
        </w:rPr>
        <w:t xml:space="preserve">by Sen. Howard Stephenson, would cap, until 2022, any additional revenues from the Education Fund (income tax) to the state higher education system. The mix of funds higher </w:t>
      </w:r>
      <w:proofErr w:type="spellStart"/>
      <w:r w:rsidR="008C7E87" w:rsidRPr="006C4CAE">
        <w:rPr>
          <w:rFonts w:ascii="Century Gothic" w:eastAsia="Times New Roman" w:hAnsi="Century Gothic" w:cs="Times New Roman"/>
          <w:color w:val="000000" w:themeColor="text1"/>
          <w:shd w:val="clear" w:color="auto" w:fill="FFFFFF"/>
        </w:rPr>
        <w:t>ed</w:t>
      </w:r>
      <w:proofErr w:type="spellEnd"/>
      <w:r w:rsidR="008C7E87" w:rsidRPr="006C4CAE">
        <w:rPr>
          <w:rFonts w:ascii="Century Gothic" w:eastAsia="Times New Roman" w:hAnsi="Century Gothic" w:cs="Times New Roman"/>
          <w:color w:val="000000" w:themeColor="text1"/>
          <w:shd w:val="clear" w:color="auto" w:fill="FFFFFF"/>
        </w:rPr>
        <w:t xml:space="preserve"> has been budgeted over the years varies between the Education Fund and the General Fund (Sales Tax) – the two primary funding sources of the state’s budget. In effect, higher education has been a balancing wheel between the two funds to help the legislature in balancing the budget. This restricts the legislature’s flexibility and would likely make it more difficult for the state to fund critical higher education needs over the next five years.  This could also result in greater reliance on tuition. The bill was ultimately substituted, then never adopted.</w:t>
      </w:r>
    </w:p>
    <w:p w14:paraId="67B9E077" w14:textId="1EC2C62A" w:rsidR="00F2037D" w:rsidRPr="000C799D" w:rsidRDefault="0016603D" w:rsidP="0033204D">
      <w:pPr>
        <w:rPr>
          <w:rFonts w:ascii="Century Gothic" w:eastAsia="Wawati SC" w:hAnsi="Century Gothic" w:cs="Times New Roman"/>
          <w:i/>
        </w:rPr>
      </w:pPr>
      <w:r>
        <w:rPr>
          <w:rFonts w:ascii="Century Gothic" w:hAnsi="Century Gothic"/>
          <w:noProof/>
        </w:rPr>
        <mc:AlternateContent>
          <mc:Choice Requires="wps">
            <w:drawing>
              <wp:anchor distT="0" distB="0" distL="114300" distR="114300" simplePos="0" relativeHeight="251670528" behindDoc="0" locked="0" layoutInCell="1" allowOverlap="1" wp14:anchorId="3138F99F" wp14:editId="0D760490">
                <wp:simplePos x="0" y="0"/>
                <wp:positionH relativeFrom="column">
                  <wp:posOffset>-4156</wp:posOffset>
                </wp:positionH>
                <wp:positionV relativeFrom="paragraph">
                  <wp:posOffset>176992</wp:posOffset>
                </wp:positionV>
                <wp:extent cx="6400800" cy="10391"/>
                <wp:effectExtent l="0" t="0" r="25400" b="40640"/>
                <wp:wrapNone/>
                <wp:docPr id="8" name="Straight Connector 8"/>
                <wp:cNvGraphicFramePr/>
                <a:graphic xmlns:a="http://schemas.openxmlformats.org/drawingml/2006/main">
                  <a:graphicData uri="http://schemas.microsoft.com/office/word/2010/wordprocessingShape">
                    <wps:wsp>
                      <wps:cNvCnPr/>
                      <wps:spPr>
                        <a:xfrm>
                          <a:off x="0" y="0"/>
                          <a:ext cx="6400800" cy="1039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C30F98" id="Straight Connector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3.95pt" to="503.65pt,14.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" strokecolor="black [3200]" strokeweight=".5pt">
                <v:stroke joinstyle="miter"/>
              </v:line>
            </w:pict>
          </mc:Fallback>
        </mc:AlternateContent>
      </w:r>
    </w:p>
    <w:p w14:paraId="67B45A0C" w14:textId="58B9D0E4" w:rsidR="00D74AD1" w:rsidRDefault="003807FE" w:rsidP="0033204D">
      <w:pPr>
        <w:outlineLvl w:val="0"/>
        <w:rPr>
          <w:rFonts w:ascii="Century Gothic" w:eastAsia="Wawati SC" w:hAnsi="Century Gothic" w:cs="Times New Roman"/>
          <w:i/>
          <w:color w:val="1155CC"/>
          <w:sz w:val="18"/>
          <w:szCs w:val="18"/>
          <w:u w:val="single"/>
        </w:rPr>
      </w:pPr>
      <w:r w:rsidRPr="000C799D">
        <w:rPr>
          <w:rFonts w:ascii="Century Gothic" w:eastAsia="Wawati SC" w:hAnsi="Century Gothic" w:cs="Times New Roman"/>
          <w:i/>
          <w:sz w:val="18"/>
          <w:szCs w:val="18"/>
        </w:rPr>
        <w:t>* USHE took</w:t>
      </w:r>
      <w:r w:rsidR="00F2037D" w:rsidRPr="000C799D">
        <w:rPr>
          <w:rFonts w:ascii="Century Gothic" w:eastAsia="Wawati SC" w:hAnsi="Century Gothic" w:cs="Times New Roman"/>
          <w:i/>
          <w:sz w:val="18"/>
          <w:szCs w:val="18"/>
        </w:rPr>
        <w:t xml:space="preserve"> an official positio</w:t>
      </w:r>
      <w:r w:rsidRPr="000C799D">
        <w:rPr>
          <w:rFonts w:ascii="Century Gothic" w:eastAsia="Wawati SC" w:hAnsi="Century Gothic" w:cs="Times New Roman"/>
          <w:i/>
          <w:sz w:val="18"/>
          <w:szCs w:val="18"/>
        </w:rPr>
        <w:t>n in support; ** USHE took</w:t>
      </w:r>
      <w:r w:rsidR="000C799D">
        <w:rPr>
          <w:rFonts w:ascii="Century Gothic" w:eastAsia="Wawati SC" w:hAnsi="Century Gothic" w:cs="Times New Roman"/>
          <w:i/>
          <w:sz w:val="18"/>
          <w:szCs w:val="18"/>
        </w:rPr>
        <w:t xml:space="preserve"> </w:t>
      </w:r>
      <w:r w:rsidR="00F2037D" w:rsidRPr="000C799D">
        <w:rPr>
          <w:rFonts w:ascii="Century Gothic" w:eastAsia="Wawati SC" w:hAnsi="Century Gothic" w:cs="Times New Roman"/>
          <w:i/>
          <w:sz w:val="18"/>
          <w:szCs w:val="18"/>
        </w:rPr>
        <w:t>an official position in opposition. For more information on legislation, committee agendas, or to view or listen to floor debates, see:</w:t>
      </w:r>
      <w:hyperlink r:id="rId42">
        <w:r w:rsidR="00F2037D" w:rsidRPr="000C799D">
          <w:rPr>
            <w:rFonts w:ascii="Century Gothic" w:eastAsia="Wawati SC" w:hAnsi="Century Gothic" w:cs="Times New Roman"/>
            <w:i/>
            <w:sz w:val="18"/>
            <w:szCs w:val="18"/>
          </w:rPr>
          <w:t xml:space="preserve"> </w:t>
        </w:r>
      </w:hyperlink>
      <w:hyperlink r:id="rId43">
        <w:r w:rsidR="00F2037D" w:rsidRPr="000C799D">
          <w:rPr>
            <w:rFonts w:ascii="Century Gothic" w:eastAsia="Wawati SC" w:hAnsi="Century Gothic" w:cs="Times New Roman"/>
            <w:i/>
            <w:color w:val="1155CC"/>
            <w:sz w:val="18"/>
            <w:szCs w:val="18"/>
            <w:u w:val="single"/>
          </w:rPr>
          <w:t>http://le.utah.gov/</w:t>
        </w:r>
      </w:hyperlink>
    </w:p>
    <w:p w14:paraId="4F673CCA" w14:textId="77777777" w:rsidR="00823D42" w:rsidRPr="00823D42" w:rsidRDefault="00823D42" w:rsidP="0033204D">
      <w:pPr>
        <w:outlineLvl w:val="0"/>
        <w:rPr>
          <w:rFonts w:ascii="Century Gothic" w:hAnsi="Century Gothic" w:cs="Times New Roman"/>
          <w:sz w:val="18"/>
          <w:szCs w:val="18"/>
        </w:rPr>
      </w:pPr>
    </w:p>
    <w:sectPr w:rsidR="00823D42" w:rsidRPr="00823D42" w:rsidSect="008C7E87">
      <w:footerReference w:type="default" r:id="rId44"/>
      <w:pgSz w:w="12240" w:h="15840"/>
      <w:pgMar w:top="720" w:right="864" w:bottom="720" w:left="1152" w:header="720" w:footer="720" w:gutter="0"/>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EA637" w14:textId="77777777" w:rsidR="00FB4943" w:rsidRDefault="00FB4943" w:rsidP="000C799D">
      <w:pPr>
        <w:spacing w:line="240" w:lineRule="auto"/>
      </w:pPr>
      <w:r>
        <w:separator/>
      </w:r>
    </w:p>
  </w:endnote>
  <w:endnote w:type="continuationSeparator" w:id="0">
    <w:p w14:paraId="1C9C2467" w14:textId="77777777" w:rsidR="00FB4943" w:rsidRDefault="00FB4943" w:rsidP="000C7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entury Gothic">
    <w:panose1 w:val="020B0502020202020204"/>
    <w:charset w:val="00"/>
    <w:family w:val="auto"/>
    <w:pitch w:val="variable"/>
    <w:sig w:usb0="00000287" w:usb1="00000000" w:usb2="00000000" w:usb3="00000000" w:csb0="0000009F" w:csb1="00000000"/>
  </w:font>
  <w:font w:name="Lato">
    <w:altName w:val="Times New Roman"/>
    <w:charset w:val="00"/>
    <w:family w:val="auto"/>
    <w:pitch w:val="default"/>
  </w:font>
  <w:font w:name="Wawati SC">
    <w:charset w:val="88"/>
    <w:family w:val="auto"/>
    <w:pitch w:val="variable"/>
    <w:sig w:usb0="A00002FF" w:usb1="38CF7CFB" w:usb2="00000016" w:usb3="00000000" w:csb0="00140003"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5259A" w14:textId="6FC40CB8" w:rsidR="000C799D" w:rsidRPr="000C799D" w:rsidRDefault="000C799D" w:rsidP="000C799D">
    <w:pPr>
      <w:pStyle w:val="Footer"/>
      <w:jc w:val="right"/>
      <w:rPr>
        <w:color w:val="FF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3FC42" w14:textId="77777777" w:rsidR="00FB4943" w:rsidRDefault="00FB4943" w:rsidP="000C799D">
      <w:pPr>
        <w:spacing w:line="240" w:lineRule="auto"/>
      </w:pPr>
      <w:r>
        <w:separator/>
      </w:r>
    </w:p>
  </w:footnote>
  <w:footnote w:type="continuationSeparator" w:id="0">
    <w:p w14:paraId="7C579C1F" w14:textId="77777777" w:rsidR="00FB4943" w:rsidRDefault="00FB4943" w:rsidP="000C799D">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C403E"/>
    <w:multiLevelType w:val="multilevel"/>
    <w:tmpl w:val="B96043B2"/>
    <w:lvl w:ilvl="0">
      <w:start w:val="6"/>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19CC51D8"/>
    <w:multiLevelType w:val="hybridMultilevel"/>
    <w:tmpl w:val="98B2667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
    <w:nsid w:val="48DE362B"/>
    <w:multiLevelType w:val="multilevel"/>
    <w:tmpl w:val="93DAB30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4CD70E37"/>
    <w:multiLevelType w:val="hybridMultilevel"/>
    <w:tmpl w:val="55842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E21F09"/>
    <w:multiLevelType w:val="multilevel"/>
    <w:tmpl w:val="C4BA8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isplayBackgroundShape/>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
  <w:rsids>
    <w:rsidRoot w:val="00D74AD1"/>
    <w:rsid w:val="00000E6E"/>
    <w:rsid w:val="00004051"/>
    <w:rsid w:val="00013820"/>
    <w:rsid w:val="0008722D"/>
    <w:rsid w:val="000B05EC"/>
    <w:rsid w:val="000C22D1"/>
    <w:rsid w:val="000C799D"/>
    <w:rsid w:val="000C7A55"/>
    <w:rsid w:val="000E1FA6"/>
    <w:rsid w:val="000F5711"/>
    <w:rsid w:val="000F6C93"/>
    <w:rsid w:val="0011732D"/>
    <w:rsid w:val="0012553C"/>
    <w:rsid w:val="00157623"/>
    <w:rsid w:val="0016603D"/>
    <w:rsid w:val="00193531"/>
    <w:rsid w:val="001E3496"/>
    <w:rsid w:val="002079FE"/>
    <w:rsid w:val="00227C29"/>
    <w:rsid w:val="002A45E5"/>
    <w:rsid w:val="002D4E2C"/>
    <w:rsid w:val="002F1298"/>
    <w:rsid w:val="003235DF"/>
    <w:rsid w:val="0033204D"/>
    <w:rsid w:val="00333139"/>
    <w:rsid w:val="003807FE"/>
    <w:rsid w:val="00384640"/>
    <w:rsid w:val="003B0A97"/>
    <w:rsid w:val="003D1913"/>
    <w:rsid w:val="00455756"/>
    <w:rsid w:val="00472087"/>
    <w:rsid w:val="004D01F1"/>
    <w:rsid w:val="00503F68"/>
    <w:rsid w:val="0050735B"/>
    <w:rsid w:val="00512C55"/>
    <w:rsid w:val="0058496A"/>
    <w:rsid w:val="005A5067"/>
    <w:rsid w:val="005D45BF"/>
    <w:rsid w:val="005D703C"/>
    <w:rsid w:val="005E57A4"/>
    <w:rsid w:val="00605FAB"/>
    <w:rsid w:val="0063220A"/>
    <w:rsid w:val="00637ED6"/>
    <w:rsid w:val="00654286"/>
    <w:rsid w:val="00674EFE"/>
    <w:rsid w:val="00694EDE"/>
    <w:rsid w:val="006B5104"/>
    <w:rsid w:val="006C4CAE"/>
    <w:rsid w:val="006C77D9"/>
    <w:rsid w:val="0070432F"/>
    <w:rsid w:val="00715B64"/>
    <w:rsid w:val="00717BB5"/>
    <w:rsid w:val="0074775D"/>
    <w:rsid w:val="00781BA5"/>
    <w:rsid w:val="007B4A96"/>
    <w:rsid w:val="007E52AF"/>
    <w:rsid w:val="00821411"/>
    <w:rsid w:val="00823D42"/>
    <w:rsid w:val="00850F22"/>
    <w:rsid w:val="00855A3B"/>
    <w:rsid w:val="008974DC"/>
    <w:rsid w:val="008C7E87"/>
    <w:rsid w:val="008E0544"/>
    <w:rsid w:val="008E3A82"/>
    <w:rsid w:val="008E5A55"/>
    <w:rsid w:val="00926D6F"/>
    <w:rsid w:val="0096702D"/>
    <w:rsid w:val="009E6324"/>
    <w:rsid w:val="00A02799"/>
    <w:rsid w:val="00A46F36"/>
    <w:rsid w:val="00A47657"/>
    <w:rsid w:val="00A610C7"/>
    <w:rsid w:val="00A66F76"/>
    <w:rsid w:val="00AD45EF"/>
    <w:rsid w:val="00AE14BE"/>
    <w:rsid w:val="00B136B8"/>
    <w:rsid w:val="00B142D8"/>
    <w:rsid w:val="00B57B2D"/>
    <w:rsid w:val="00B92E0D"/>
    <w:rsid w:val="00B93A2D"/>
    <w:rsid w:val="00BC5BC9"/>
    <w:rsid w:val="00BF1724"/>
    <w:rsid w:val="00C730B6"/>
    <w:rsid w:val="00CB4E61"/>
    <w:rsid w:val="00CE407B"/>
    <w:rsid w:val="00CE6FFD"/>
    <w:rsid w:val="00D06764"/>
    <w:rsid w:val="00D46CB0"/>
    <w:rsid w:val="00D52C9E"/>
    <w:rsid w:val="00D673DE"/>
    <w:rsid w:val="00D74AD1"/>
    <w:rsid w:val="00DA7804"/>
    <w:rsid w:val="00E53991"/>
    <w:rsid w:val="00E84DF4"/>
    <w:rsid w:val="00EA141C"/>
    <w:rsid w:val="00EA16D0"/>
    <w:rsid w:val="00EF72D0"/>
    <w:rsid w:val="00F025C1"/>
    <w:rsid w:val="00F07C27"/>
    <w:rsid w:val="00F2037D"/>
    <w:rsid w:val="00F34C61"/>
    <w:rsid w:val="00F60C5B"/>
    <w:rsid w:val="00F659EA"/>
    <w:rsid w:val="00F8289A"/>
    <w:rsid w:val="00FA4415"/>
    <w:rsid w:val="00FB4943"/>
    <w:rsid w:val="00FD064F"/>
    <w:rsid w:val="00FE5D4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B45A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Hyperlink">
    <w:name w:val="Hyperlink"/>
    <w:basedOn w:val="DefaultParagraphFont"/>
    <w:uiPriority w:val="99"/>
    <w:unhideWhenUsed/>
    <w:rsid w:val="00654286"/>
    <w:rPr>
      <w:color w:val="0563C1" w:themeColor="hyperlink"/>
      <w:u w:val="single"/>
    </w:rPr>
  </w:style>
  <w:style w:type="character" w:styleId="Strong">
    <w:name w:val="Strong"/>
    <w:basedOn w:val="DefaultParagraphFont"/>
    <w:uiPriority w:val="22"/>
    <w:qFormat/>
    <w:rsid w:val="00227C29"/>
    <w:rPr>
      <w:b/>
      <w:bCs/>
    </w:rPr>
  </w:style>
  <w:style w:type="table" w:styleId="PlainTable4">
    <w:name w:val="Plain Table 4"/>
    <w:basedOn w:val="TableNormal"/>
    <w:uiPriority w:val="44"/>
    <w:rsid w:val="0050735B"/>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DefaultParagraphFont"/>
    <w:rsid w:val="00AE14BE"/>
  </w:style>
  <w:style w:type="paragraph" w:styleId="ListParagraph">
    <w:name w:val="List Paragraph"/>
    <w:basedOn w:val="Normal"/>
    <w:uiPriority w:val="34"/>
    <w:qFormat/>
    <w:rsid w:val="00674EFE"/>
    <w:pPr>
      <w:spacing w:after="200"/>
      <w:ind w:left="720"/>
      <w:contextualSpacing/>
    </w:pPr>
    <w:rPr>
      <w:rFonts w:asciiTheme="minorHAnsi" w:eastAsiaTheme="minorHAnsi" w:hAnsiTheme="minorHAnsi" w:cstheme="minorBidi"/>
      <w:color w:val="auto"/>
    </w:rPr>
  </w:style>
  <w:style w:type="character" w:styleId="FollowedHyperlink">
    <w:name w:val="FollowedHyperlink"/>
    <w:basedOn w:val="DefaultParagraphFont"/>
    <w:uiPriority w:val="99"/>
    <w:semiHidden/>
    <w:unhideWhenUsed/>
    <w:rsid w:val="0011732D"/>
    <w:rPr>
      <w:color w:val="954F72" w:themeColor="followedHyperlink"/>
      <w:u w:val="single"/>
    </w:rPr>
  </w:style>
  <w:style w:type="paragraph" w:styleId="NormalWeb">
    <w:name w:val="Normal (Web)"/>
    <w:basedOn w:val="Normal"/>
    <w:uiPriority w:val="99"/>
    <w:semiHidden/>
    <w:unhideWhenUsed/>
    <w:rsid w:val="00821411"/>
    <w:pPr>
      <w:spacing w:before="100" w:beforeAutospacing="1" w:after="100" w:afterAutospacing="1" w:line="240" w:lineRule="auto"/>
    </w:pPr>
    <w:rPr>
      <w:rFonts w:ascii="Times New Roman" w:hAnsi="Times New Roman" w:cs="Times New Roman"/>
      <w:color w:val="auto"/>
      <w:sz w:val="24"/>
      <w:szCs w:val="24"/>
    </w:rPr>
  </w:style>
  <w:style w:type="paragraph" w:styleId="BalloonText">
    <w:name w:val="Balloon Text"/>
    <w:basedOn w:val="Normal"/>
    <w:link w:val="BalloonTextChar"/>
    <w:uiPriority w:val="99"/>
    <w:semiHidden/>
    <w:unhideWhenUsed/>
    <w:rsid w:val="00F34C61"/>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34C6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34C61"/>
    <w:rPr>
      <w:sz w:val="18"/>
      <w:szCs w:val="18"/>
    </w:rPr>
  </w:style>
  <w:style w:type="paragraph" w:styleId="CommentText">
    <w:name w:val="annotation text"/>
    <w:basedOn w:val="Normal"/>
    <w:link w:val="CommentTextChar"/>
    <w:uiPriority w:val="99"/>
    <w:semiHidden/>
    <w:unhideWhenUsed/>
    <w:rsid w:val="00F34C61"/>
    <w:pPr>
      <w:spacing w:line="240" w:lineRule="auto"/>
    </w:pPr>
    <w:rPr>
      <w:sz w:val="24"/>
      <w:szCs w:val="24"/>
    </w:rPr>
  </w:style>
  <w:style w:type="character" w:customStyle="1" w:styleId="CommentTextChar">
    <w:name w:val="Comment Text Char"/>
    <w:basedOn w:val="DefaultParagraphFont"/>
    <w:link w:val="CommentText"/>
    <w:uiPriority w:val="99"/>
    <w:semiHidden/>
    <w:rsid w:val="00F34C61"/>
    <w:rPr>
      <w:sz w:val="24"/>
      <w:szCs w:val="24"/>
    </w:rPr>
  </w:style>
  <w:style w:type="paragraph" w:styleId="CommentSubject">
    <w:name w:val="annotation subject"/>
    <w:basedOn w:val="CommentText"/>
    <w:next w:val="CommentText"/>
    <w:link w:val="CommentSubjectChar"/>
    <w:uiPriority w:val="99"/>
    <w:semiHidden/>
    <w:unhideWhenUsed/>
    <w:rsid w:val="00F34C61"/>
    <w:rPr>
      <w:b/>
      <w:bCs/>
      <w:sz w:val="20"/>
      <w:szCs w:val="20"/>
    </w:rPr>
  </w:style>
  <w:style w:type="character" w:customStyle="1" w:styleId="CommentSubjectChar">
    <w:name w:val="Comment Subject Char"/>
    <w:basedOn w:val="CommentTextChar"/>
    <w:link w:val="CommentSubject"/>
    <w:uiPriority w:val="99"/>
    <w:semiHidden/>
    <w:rsid w:val="00F34C61"/>
    <w:rPr>
      <w:b/>
      <w:bCs/>
      <w:sz w:val="20"/>
      <w:szCs w:val="20"/>
    </w:rPr>
  </w:style>
  <w:style w:type="paragraph" w:styleId="Header">
    <w:name w:val="header"/>
    <w:basedOn w:val="Normal"/>
    <w:link w:val="HeaderChar"/>
    <w:uiPriority w:val="99"/>
    <w:unhideWhenUsed/>
    <w:rsid w:val="000C799D"/>
    <w:pPr>
      <w:tabs>
        <w:tab w:val="center" w:pos="4680"/>
        <w:tab w:val="right" w:pos="9360"/>
      </w:tabs>
      <w:spacing w:line="240" w:lineRule="auto"/>
    </w:pPr>
  </w:style>
  <w:style w:type="character" w:customStyle="1" w:styleId="HeaderChar">
    <w:name w:val="Header Char"/>
    <w:basedOn w:val="DefaultParagraphFont"/>
    <w:link w:val="Header"/>
    <w:uiPriority w:val="99"/>
    <w:rsid w:val="000C799D"/>
  </w:style>
  <w:style w:type="paragraph" w:styleId="Footer">
    <w:name w:val="footer"/>
    <w:basedOn w:val="Normal"/>
    <w:link w:val="FooterChar"/>
    <w:uiPriority w:val="99"/>
    <w:unhideWhenUsed/>
    <w:rsid w:val="000C799D"/>
    <w:pPr>
      <w:tabs>
        <w:tab w:val="center" w:pos="4680"/>
        <w:tab w:val="right" w:pos="9360"/>
      </w:tabs>
      <w:spacing w:line="240" w:lineRule="auto"/>
    </w:pPr>
  </w:style>
  <w:style w:type="character" w:customStyle="1" w:styleId="FooterChar">
    <w:name w:val="Footer Char"/>
    <w:basedOn w:val="DefaultParagraphFont"/>
    <w:link w:val="Footer"/>
    <w:uiPriority w:val="99"/>
    <w:rsid w:val="000C7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49901">
      <w:bodyDiv w:val="1"/>
      <w:marLeft w:val="0"/>
      <w:marRight w:val="0"/>
      <w:marTop w:val="0"/>
      <w:marBottom w:val="0"/>
      <w:divBdr>
        <w:top w:val="none" w:sz="0" w:space="0" w:color="auto"/>
        <w:left w:val="none" w:sz="0" w:space="0" w:color="auto"/>
        <w:bottom w:val="none" w:sz="0" w:space="0" w:color="auto"/>
        <w:right w:val="none" w:sz="0" w:space="0" w:color="auto"/>
      </w:divBdr>
    </w:div>
    <w:div w:id="309672609">
      <w:bodyDiv w:val="1"/>
      <w:marLeft w:val="0"/>
      <w:marRight w:val="0"/>
      <w:marTop w:val="0"/>
      <w:marBottom w:val="0"/>
      <w:divBdr>
        <w:top w:val="none" w:sz="0" w:space="0" w:color="auto"/>
        <w:left w:val="none" w:sz="0" w:space="0" w:color="auto"/>
        <w:bottom w:val="none" w:sz="0" w:space="0" w:color="auto"/>
        <w:right w:val="none" w:sz="0" w:space="0" w:color="auto"/>
      </w:divBdr>
    </w:div>
    <w:div w:id="484931286">
      <w:bodyDiv w:val="1"/>
      <w:marLeft w:val="0"/>
      <w:marRight w:val="0"/>
      <w:marTop w:val="0"/>
      <w:marBottom w:val="0"/>
      <w:divBdr>
        <w:top w:val="none" w:sz="0" w:space="0" w:color="auto"/>
        <w:left w:val="none" w:sz="0" w:space="0" w:color="auto"/>
        <w:bottom w:val="none" w:sz="0" w:space="0" w:color="auto"/>
        <w:right w:val="none" w:sz="0" w:space="0" w:color="auto"/>
      </w:divBdr>
    </w:div>
    <w:div w:id="514807710">
      <w:bodyDiv w:val="1"/>
      <w:marLeft w:val="0"/>
      <w:marRight w:val="0"/>
      <w:marTop w:val="0"/>
      <w:marBottom w:val="0"/>
      <w:divBdr>
        <w:top w:val="none" w:sz="0" w:space="0" w:color="auto"/>
        <w:left w:val="none" w:sz="0" w:space="0" w:color="auto"/>
        <w:bottom w:val="none" w:sz="0" w:space="0" w:color="auto"/>
        <w:right w:val="none" w:sz="0" w:space="0" w:color="auto"/>
      </w:divBdr>
    </w:div>
    <w:div w:id="566690711">
      <w:bodyDiv w:val="1"/>
      <w:marLeft w:val="0"/>
      <w:marRight w:val="0"/>
      <w:marTop w:val="0"/>
      <w:marBottom w:val="0"/>
      <w:divBdr>
        <w:top w:val="none" w:sz="0" w:space="0" w:color="auto"/>
        <w:left w:val="none" w:sz="0" w:space="0" w:color="auto"/>
        <w:bottom w:val="none" w:sz="0" w:space="0" w:color="auto"/>
        <w:right w:val="none" w:sz="0" w:space="0" w:color="auto"/>
      </w:divBdr>
    </w:div>
    <w:div w:id="709112249">
      <w:bodyDiv w:val="1"/>
      <w:marLeft w:val="0"/>
      <w:marRight w:val="0"/>
      <w:marTop w:val="0"/>
      <w:marBottom w:val="0"/>
      <w:divBdr>
        <w:top w:val="none" w:sz="0" w:space="0" w:color="auto"/>
        <w:left w:val="none" w:sz="0" w:space="0" w:color="auto"/>
        <w:bottom w:val="none" w:sz="0" w:space="0" w:color="auto"/>
        <w:right w:val="none" w:sz="0" w:space="0" w:color="auto"/>
      </w:divBdr>
    </w:div>
    <w:div w:id="1046444348">
      <w:bodyDiv w:val="1"/>
      <w:marLeft w:val="0"/>
      <w:marRight w:val="0"/>
      <w:marTop w:val="0"/>
      <w:marBottom w:val="0"/>
      <w:divBdr>
        <w:top w:val="none" w:sz="0" w:space="0" w:color="auto"/>
        <w:left w:val="none" w:sz="0" w:space="0" w:color="auto"/>
        <w:bottom w:val="none" w:sz="0" w:space="0" w:color="auto"/>
        <w:right w:val="none" w:sz="0" w:space="0" w:color="auto"/>
      </w:divBdr>
    </w:div>
    <w:div w:id="1102998045">
      <w:bodyDiv w:val="1"/>
      <w:marLeft w:val="0"/>
      <w:marRight w:val="0"/>
      <w:marTop w:val="0"/>
      <w:marBottom w:val="0"/>
      <w:divBdr>
        <w:top w:val="none" w:sz="0" w:space="0" w:color="auto"/>
        <w:left w:val="none" w:sz="0" w:space="0" w:color="auto"/>
        <w:bottom w:val="none" w:sz="0" w:space="0" w:color="auto"/>
        <w:right w:val="none" w:sz="0" w:space="0" w:color="auto"/>
      </w:divBdr>
    </w:div>
    <w:div w:id="1348825279">
      <w:bodyDiv w:val="1"/>
      <w:marLeft w:val="0"/>
      <w:marRight w:val="0"/>
      <w:marTop w:val="0"/>
      <w:marBottom w:val="0"/>
      <w:divBdr>
        <w:top w:val="none" w:sz="0" w:space="0" w:color="auto"/>
        <w:left w:val="none" w:sz="0" w:space="0" w:color="auto"/>
        <w:bottom w:val="none" w:sz="0" w:space="0" w:color="auto"/>
        <w:right w:val="none" w:sz="0" w:space="0" w:color="auto"/>
      </w:divBdr>
    </w:div>
    <w:div w:id="1377659834">
      <w:bodyDiv w:val="1"/>
      <w:marLeft w:val="0"/>
      <w:marRight w:val="0"/>
      <w:marTop w:val="0"/>
      <w:marBottom w:val="0"/>
      <w:divBdr>
        <w:top w:val="none" w:sz="0" w:space="0" w:color="auto"/>
        <w:left w:val="none" w:sz="0" w:space="0" w:color="auto"/>
        <w:bottom w:val="none" w:sz="0" w:space="0" w:color="auto"/>
        <w:right w:val="none" w:sz="0" w:space="0" w:color="auto"/>
      </w:divBdr>
    </w:div>
    <w:div w:id="1706441384">
      <w:bodyDiv w:val="1"/>
      <w:marLeft w:val="0"/>
      <w:marRight w:val="0"/>
      <w:marTop w:val="0"/>
      <w:marBottom w:val="0"/>
      <w:divBdr>
        <w:top w:val="none" w:sz="0" w:space="0" w:color="auto"/>
        <w:left w:val="none" w:sz="0" w:space="0" w:color="auto"/>
        <w:bottom w:val="none" w:sz="0" w:space="0" w:color="auto"/>
        <w:right w:val="none" w:sz="0" w:space="0" w:color="auto"/>
      </w:divBdr>
    </w:div>
    <w:div w:id="1931617344">
      <w:bodyDiv w:val="1"/>
      <w:marLeft w:val="0"/>
      <w:marRight w:val="0"/>
      <w:marTop w:val="0"/>
      <w:marBottom w:val="0"/>
      <w:divBdr>
        <w:top w:val="none" w:sz="0" w:space="0" w:color="auto"/>
        <w:left w:val="none" w:sz="0" w:space="0" w:color="auto"/>
        <w:bottom w:val="none" w:sz="0" w:space="0" w:color="auto"/>
        <w:right w:val="none" w:sz="0" w:space="0" w:color="auto"/>
      </w:divBdr>
    </w:div>
    <w:div w:id="1981105383">
      <w:bodyDiv w:val="1"/>
      <w:marLeft w:val="0"/>
      <w:marRight w:val="0"/>
      <w:marTop w:val="0"/>
      <w:marBottom w:val="0"/>
      <w:divBdr>
        <w:top w:val="none" w:sz="0" w:space="0" w:color="auto"/>
        <w:left w:val="none" w:sz="0" w:space="0" w:color="auto"/>
        <w:bottom w:val="none" w:sz="0" w:space="0" w:color="auto"/>
        <w:right w:val="none" w:sz="0" w:space="0" w:color="auto"/>
      </w:divBdr>
    </w:div>
    <w:div w:id="205954959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46" Type="http://schemas.openxmlformats.org/officeDocument/2006/relationships/theme" Target="theme/theme1.xml"/><Relationship Id="rId20" Type="http://schemas.openxmlformats.org/officeDocument/2006/relationships/hyperlink" Target="https://docs.google.com/spreadsheets/d/1pNp-407ADASWexnr2ADdfZ6beT58Ldi5koUvlf1ExDw/edit" TargetMode="External"/><Relationship Id="rId21" Type="http://schemas.openxmlformats.org/officeDocument/2006/relationships/hyperlink" Target="http://le.utah.gov/~2017/bills/static/SB0035.html" TargetMode="External"/><Relationship Id="rId22" Type="http://schemas.openxmlformats.org/officeDocument/2006/relationships/hyperlink" Target="http://le.utah.gov/~2017/bills/static/HB0100.html" TargetMode="External"/><Relationship Id="rId23" Type="http://schemas.openxmlformats.org/officeDocument/2006/relationships/hyperlink" Target="http://le.utah.gov/~2017/bills/static/HB0249.html" TargetMode="External"/><Relationship Id="rId24" Type="http://schemas.openxmlformats.org/officeDocument/2006/relationships/hyperlink" Target="http://le.utah.gov/~2017/bills/static/HB0251.html" TargetMode="External"/><Relationship Id="rId25" Type="http://schemas.openxmlformats.org/officeDocument/2006/relationships/hyperlink" Target="http://le.utah.gov/~2017/bills/static/HCR016.html" TargetMode="External"/><Relationship Id="rId26" Type="http://schemas.openxmlformats.org/officeDocument/2006/relationships/hyperlink" Target="http://le.utah.gov/~2017/bills/static/SB0117.html" TargetMode="External"/><Relationship Id="rId27" Type="http://schemas.openxmlformats.org/officeDocument/2006/relationships/hyperlink" Target="http://le.utah.gov/~2017/bills/static/SB0149.html" TargetMode="External"/><Relationship Id="rId28" Type="http://schemas.openxmlformats.org/officeDocument/2006/relationships/hyperlink" Target="http://le.utah.gov/~2017/bills/static/SB0194.html" TargetMode="External"/><Relationship Id="rId29" Type="http://schemas.openxmlformats.org/officeDocument/2006/relationships/hyperlink" Target="http://le.utah.gov/~2017/bills/static/SB0238.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le.utah.gov/~2017/bills/static/SB0243.html" TargetMode="External"/><Relationship Id="rId31" Type="http://schemas.openxmlformats.org/officeDocument/2006/relationships/hyperlink" Target="http://le.utah.gov/~2017/bills/static/SB0256.html" TargetMode="External"/><Relationship Id="rId32" Type="http://schemas.openxmlformats.org/officeDocument/2006/relationships/hyperlink" Target="http://le.utah.gov/~2017/bills/static/SB0263.html" TargetMode="External"/><Relationship Id="rId9" Type="http://schemas.openxmlformats.org/officeDocument/2006/relationships/image" Target="media/image2.pn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33" Type="http://schemas.openxmlformats.org/officeDocument/2006/relationships/hyperlink" Target="http://le.utah.gov/~2017/bills/static/SJR001.html" TargetMode="External"/><Relationship Id="rId34" Type="http://schemas.openxmlformats.org/officeDocument/2006/relationships/hyperlink" Target="http://le.utah.gov/~2017/bills/static/HB0103.html" TargetMode="External"/><Relationship Id="rId35" Type="http://schemas.openxmlformats.org/officeDocument/2006/relationships/hyperlink" Target="http://le.utah.gov/~2017/bills/static/HB0120.html" TargetMode="External"/><Relationship Id="rId36" Type="http://schemas.openxmlformats.org/officeDocument/2006/relationships/hyperlink" Target="http://le.utah.gov/~2017/bills/static/HB0275.html" TargetMode="External"/><Relationship Id="rId10" Type="http://schemas.openxmlformats.org/officeDocument/2006/relationships/hyperlink" Target="https://higheredutah.org/wp-content/uploads/2014/03/TAB-U-2014-3-28.pdf" TargetMode="External"/><Relationship Id="rId11" Type="http://schemas.openxmlformats.org/officeDocument/2006/relationships/hyperlink" Target="http://le.utah.gov/~2017/bills/static/SB0117.html" TargetMode="External"/><Relationship Id="rId12" Type="http://schemas.openxmlformats.org/officeDocument/2006/relationships/hyperlink" Target="http://le.utah.gov/~2017/bills/static/SB0256.html" TargetMode="External"/><Relationship Id="rId13" Type="http://schemas.openxmlformats.org/officeDocument/2006/relationships/hyperlink" Target="http://le.utah.gov/~2017/bills/static/HB0024.html" TargetMode="External"/><Relationship Id="rId14" Type="http://schemas.openxmlformats.org/officeDocument/2006/relationships/hyperlink" Target="http://le.utah.gov/~2017/bills/static/HB0054.html" TargetMode="External"/><Relationship Id="rId15" Type="http://schemas.openxmlformats.org/officeDocument/2006/relationships/hyperlink" Target="http://le.utah.gov/~2017/bills/static/HB0054.html" TargetMode="External"/><Relationship Id="rId16" Type="http://schemas.openxmlformats.org/officeDocument/2006/relationships/hyperlink" Target="http://le.utah.gov/~2017/bills/static/HB0055.html" TargetMode="External"/><Relationship Id="rId17" Type="http://schemas.openxmlformats.org/officeDocument/2006/relationships/hyperlink" Target="http://le.utah.gov/~2017/bills/static/HB0156.html" TargetMode="External"/><Relationship Id="rId18" Type="http://schemas.openxmlformats.org/officeDocument/2006/relationships/hyperlink" Target="http://le.utah.gov/~2017/bills/static/HB0198.html" TargetMode="External"/><Relationship Id="rId19" Type="http://schemas.openxmlformats.org/officeDocument/2006/relationships/hyperlink" Target="http://le.utah.gov/~2017/bills/static/HB0431.html" TargetMode="External"/><Relationship Id="rId37" Type="http://schemas.openxmlformats.org/officeDocument/2006/relationships/hyperlink" Target="http://le.utah.gov/~2017/bills/static/HB0284.html" TargetMode="External"/><Relationship Id="rId38" Type="http://schemas.openxmlformats.org/officeDocument/2006/relationships/hyperlink" Target="http://le.utah.gov/~2017/bills/static/HB0326.html" TargetMode="External"/><Relationship Id="rId39" Type="http://schemas.openxmlformats.org/officeDocument/2006/relationships/hyperlink" Target="http://le.utah.gov/~2017/bills/static/HB0334.html" TargetMode="External"/><Relationship Id="rId40" Type="http://schemas.openxmlformats.org/officeDocument/2006/relationships/hyperlink" Target="https://docs.google.com/spreadsheets/d/1pNp-407ADASWexnr2ADdfZ6beT58Ldi5koUvlf1ExDw/edit" TargetMode="External"/><Relationship Id="rId41" Type="http://schemas.openxmlformats.org/officeDocument/2006/relationships/hyperlink" Target="http://le.utah.gov/~2017/bills/static/SB0255.html" TargetMode="External"/><Relationship Id="rId42" Type="http://schemas.openxmlformats.org/officeDocument/2006/relationships/hyperlink" Target="http://le.utah.gov/" TargetMode="External"/><Relationship Id="rId43" Type="http://schemas.openxmlformats.org/officeDocument/2006/relationships/hyperlink" Target="http://le.utah.gov/" TargetMode="External"/><Relationship Id="rId44" Type="http://schemas.openxmlformats.org/officeDocument/2006/relationships/footer" Target="footer1.xml"/><Relationship Id="rId4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A95C2-85F4-AD4D-91D1-E9B602154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2352</Words>
  <Characters>13411</Characters>
  <Application>Microsoft Macintosh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Cameron Martin</cp:lastModifiedBy>
  <cp:revision>2</cp:revision>
  <cp:lastPrinted>2016-02-07T08:53:00Z</cp:lastPrinted>
  <dcterms:created xsi:type="dcterms:W3CDTF">2017-03-15T15:15:00Z</dcterms:created>
  <dcterms:modified xsi:type="dcterms:W3CDTF">2017-03-15T15:15:00Z</dcterms:modified>
</cp:coreProperties>
</file>